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34C04" w14:textId="0C1ECEE9" w:rsidR="00D21BC2" w:rsidRPr="00B22BB8" w:rsidRDefault="00545B4E" w:rsidP="00C022FF">
      <w:pPr>
        <w:spacing w:line="276" w:lineRule="auto"/>
        <w:rPr>
          <w:rFonts w:ascii="Arial" w:eastAsia="Times New Roman" w:hAnsi="Arial" w:cs="Arial"/>
        </w:rPr>
      </w:pPr>
      <w:r w:rsidRPr="00B22BB8">
        <w:rPr>
          <w:rFonts w:ascii="Arial" w:hAnsi="Arial" w:cs="Arial"/>
        </w:rPr>
        <w:t>NEWS RELEASE</w:t>
      </w:r>
      <w:r w:rsidRPr="00B22BB8">
        <w:rPr>
          <w:rFonts w:ascii="Arial" w:hAnsi="Arial" w:cs="Arial"/>
          <w:color w:val="FF0000"/>
        </w:rPr>
        <w:br/>
      </w:r>
      <w:r w:rsidR="00E849A9" w:rsidRPr="00B22BB8">
        <w:rPr>
          <w:rFonts w:ascii="Arial" w:hAnsi="Arial" w:cs="Arial"/>
        </w:rPr>
        <w:t>EMBARGOED—</w:t>
      </w:r>
      <w:r w:rsidR="00DE5D3C" w:rsidRPr="00B22BB8">
        <w:rPr>
          <w:rFonts w:ascii="Arial" w:hAnsi="Arial" w:cs="Arial"/>
        </w:rPr>
        <w:t xml:space="preserve">HOLD FOR RELEASE </w:t>
      </w:r>
      <w:r w:rsidR="00296181" w:rsidRPr="00B22BB8">
        <w:rPr>
          <w:rFonts w:ascii="Arial" w:hAnsi="Arial" w:cs="Arial"/>
        </w:rPr>
        <w:t>UNTIL 12:01 A.M.</w:t>
      </w:r>
      <w:r w:rsidR="009C6735" w:rsidRPr="00B22BB8">
        <w:rPr>
          <w:rFonts w:ascii="Arial" w:hAnsi="Arial" w:cs="Arial"/>
        </w:rPr>
        <w:t xml:space="preserve"> EDT</w:t>
      </w:r>
      <w:r w:rsidR="00296181" w:rsidRPr="00B22BB8">
        <w:rPr>
          <w:rFonts w:ascii="Arial" w:hAnsi="Arial" w:cs="Arial"/>
        </w:rPr>
        <w:t xml:space="preserve"> </w:t>
      </w:r>
      <w:r w:rsidR="00D53D09">
        <w:rPr>
          <w:rFonts w:ascii="Arial" w:hAnsi="Arial" w:cs="Arial"/>
        </w:rPr>
        <w:t>10</w:t>
      </w:r>
      <w:r w:rsidR="00EE046D" w:rsidRPr="00B22BB8">
        <w:rPr>
          <w:rFonts w:ascii="Arial" w:hAnsi="Arial" w:cs="Arial"/>
        </w:rPr>
        <w:t>/</w:t>
      </w:r>
      <w:r w:rsidR="00D53D09">
        <w:rPr>
          <w:rFonts w:ascii="Arial" w:hAnsi="Arial" w:cs="Arial"/>
        </w:rPr>
        <w:t>3</w:t>
      </w:r>
      <w:r w:rsidR="00296181" w:rsidRPr="00B22BB8">
        <w:rPr>
          <w:rFonts w:ascii="Arial" w:hAnsi="Arial" w:cs="Arial"/>
        </w:rPr>
        <w:t>0</w:t>
      </w:r>
      <w:r w:rsidR="00EE046D" w:rsidRPr="00B22BB8">
        <w:rPr>
          <w:rFonts w:ascii="Arial" w:hAnsi="Arial" w:cs="Arial"/>
        </w:rPr>
        <w:t>/</w:t>
      </w:r>
      <w:r w:rsidR="00296181" w:rsidRPr="00B22BB8">
        <w:rPr>
          <w:rFonts w:ascii="Arial" w:hAnsi="Arial" w:cs="Arial"/>
        </w:rPr>
        <w:t>1</w:t>
      </w:r>
      <w:r w:rsidR="00D53D09">
        <w:rPr>
          <w:rFonts w:ascii="Arial" w:hAnsi="Arial" w:cs="Arial"/>
        </w:rPr>
        <w:t>9</w:t>
      </w:r>
      <w:r w:rsidRPr="00B22BB8">
        <w:rPr>
          <w:rFonts w:ascii="Arial" w:hAnsi="Arial" w:cs="Arial"/>
        </w:rPr>
        <w:br/>
      </w:r>
      <w:r w:rsidR="00D21BC2" w:rsidRPr="00B22BB8">
        <w:rPr>
          <w:rFonts w:ascii="Arial" w:hAnsi="Arial" w:cs="Arial"/>
        </w:rPr>
        <w:t>CONTACT:</w:t>
      </w:r>
      <w:r w:rsidR="00D21BC2" w:rsidRPr="00B22BB8">
        <w:rPr>
          <w:rFonts w:ascii="Arial" w:hAnsi="Arial" w:cs="Arial"/>
        </w:rPr>
        <w:br/>
      </w:r>
      <w:r w:rsidR="00F24956">
        <w:rPr>
          <w:rFonts w:ascii="Arial" w:hAnsi="Arial" w:cs="Arial"/>
        </w:rPr>
        <w:t xml:space="preserve">Grady Wilburn, NCES, </w:t>
      </w:r>
      <w:hyperlink r:id="rId11" w:history="1">
        <w:r w:rsidR="00F24956" w:rsidRPr="00CE1518">
          <w:rPr>
            <w:rStyle w:val="Hyperlink"/>
            <w:rFonts w:ascii="Arial" w:hAnsi="Arial" w:cs="Arial"/>
          </w:rPr>
          <w:t>grady.wilburn@ed.gov</w:t>
        </w:r>
      </w:hyperlink>
      <w:r w:rsidR="00B91E86">
        <w:rPr>
          <w:rFonts w:ascii="Arial" w:hAnsi="Arial" w:cs="Arial"/>
        </w:rPr>
        <w:t>, (202) 245-8159 OR</w:t>
      </w:r>
      <w:r w:rsidR="00D21BC2" w:rsidRPr="00B22BB8">
        <w:rPr>
          <w:rFonts w:ascii="Arial" w:hAnsi="Arial" w:cs="Arial"/>
        </w:rPr>
        <w:br/>
      </w:r>
      <w:r w:rsidR="00D53D09">
        <w:rPr>
          <w:rFonts w:ascii="Arial" w:hAnsi="Arial" w:cs="Arial"/>
        </w:rPr>
        <w:t>Emily Martin</w:t>
      </w:r>
      <w:r w:rsidR="00F24956">
        <w:rPr>
          <w:rFonts w:ascii="Arial" w:hAnsi="Arial" w:cs="Arial"/>
        </w:rPr>
        <w:t xml:space="preserve">, Hager Sharp, </w:t>
      </w:r>
      <w:hyperlink r:id="rId12" w:history="1">
        <w:r w:rsidR="00D53D09" w:rsidRPr="00C416C7">
          <w:rPr>
            <w:rStyle w:val="Hyperlink"/>
            <w:rFonts w:ascii="Arial" w:hAnsi="Arial" w:cs="Arial"/>
          </w:rPr>
          <w:t>emartin@hagersharp.com</w:t>
        </w:r>
      </w:hyperlink>
      <w:bookmarkStart w:id="0" w:name="_Hlk19710375"/>
      <w:r w:rsidR="00F24956">
        <w:rPr>
          <w:rFonts w:ascii="Arial" w:hAnsi="Arial" w:cs="Arial"/>
        </w:rPr>
        <w:t xml:space="preserve">, </w:t>
      </w:r>
      <w:bookmarkStart w:id="1" w:name="_Hlk19710331"/>
      <w:r w:rsidR="00F24956">
        <w:rPr>
          <w:rFonts w:ascii="Arial" w:hAnsi="Arial" w:cs="Arial"/>
        </w:rPr>
        <w:t>(202) 706-7</w:t>
      </w:r>
      <w:r w:rsidR="00D53D09">
        <w:rPr>
          <w:rFonts w:ascii="Arial" w:hAnsi="Arial" w:cs="Arial"/>
        </w:rPr>
        <w:t>471</w:t>
      </w:r>
      <w:bookmarkEnd w:id="0"/>
      <w:bookmarkEnd w:id="1"/>
    </w:p>
    <w:p w14:paraId="1ED89B29" w14:textId="4077E843" w:rsidR="00210CCA" w:rsidRDefault="00210CCA" w:rsidP="00C022FF">
      <w:pPr>
        <w:spacing w:line="276" w:lineRule="auto"/>
        <w:jc w:val="center"/>
        <w:rPr>
          <w:rFonts w:ascii="Arial" w:hAnsi="Arial" w:cs="Arial"/>
          <w:b/>
          <w:sz w:val="24"/>
          <w:szCs w:val="24"/>
        </w:rPr>
      </w:pPr>
      <w:r>
        <w:rPr>
          <w:rFonts w:ascii="Arial" w:hAnsi="Arial" w:cs="Arial"/>
          <w:b/>
          <w:sz w:val="24"/>
          <w:szCs w:val="24"/>
        </w:rPr>
        <w:t xml:space="preserve">Reading Scores Decline on </w:t>
      </w:r>
      <w:r w:rsidRPr="00742877">
        <w:rPr>
          <w:rFonts w:ascii="Arial" w:hAnsi="Arial" w:cs="Arial"/>
          <w:b/>
          <w:sz w:val="24"/>
          <w:szCs w:val="24"/>
        </w:rPr>
        <w:t>201</w:t>
      </w:r>
      <w:r>
        <w:rPr>
          <w:rFonts w:ascii="Arial" w:hAnsi="Arial" w:cs="Arial"/>
          <w:b/>
          <w:sz w:val="24"/>
          <w:szCs w:val="24"/>
        </w:rPr>
        <w:t>9</w:t>
      </w:r>
      <w:r w:rsidRPr="00742877">
        <w:rPr>
          <w:rFonts w:ascii="Arial" w:hAnsi="Arial" w:cs="Arial"/>
          <w:b/>
          <w:sz w:val="24"/>
          <w:szCs w:val="24"/>
        </w:rPr>
        <w:t xml:space="preserve"> </w:t>
      </w:r>
      <w:r w:rsidRPr="00EC4DE6">
        <w:rPr>
          <w:rFonts w:ascii="Arial" w:hAnsi="Arial" w:cs="Arial"/>
          <w:b/>
          <w:sz w:val="24"/>
          <w:szCs w:val="24"/>
        </w:rPr>
        <w:t xml:space="preserve">Nation’s Report Card </w:t>
      </w:r>
    </w:p>
    <w:p w14:paraId="41BEB072" w14:textId="180DF0D0" w:rsidR="007208C1" w:rsidRPr="00461CB3" w:rsidRDefault="00326C3E" w:rsidP="00C022FF">
      <w:pPr>
        <w:spacing w:line="276" w:lineRule="auto"/>
        <w:jc w:val="center"/>
        <w:rPr>
          <w:rFonts w:ascii="Arial" w:hAnsi="Arial" w:cs="Arial"/>
          <w:b/>
          <w:i/>
          <w:sz w:val="18"/>
          <w:szCs w:val="18"/>
        </w:rPr>
      </w:pPr>
      <w:r w:rsidRPr="00461CB3">
        <w:rPr>
          <w:rFonts w:ascii="Arial" w:hAnsi="Arial" w:cs="Arial"/>
          <w:b/>
          <w:i/>
          <w:sz w:val="18"/>
          <w:szCs w:val="18"/>
        </w:rPr>
        <w:t>Fourth</w:t>
      </w:r>
      <w:r w:rsidR="00E85BF0" w:rsidRPr="00461CB3">
        <w:rPr>
          <w:rFonts w:ascii="Arial" w:hAnsi="Arial" w:cs="Arial"/>
          <w:b/>
          <w:i/>
          <w:sz w:val="18"/>
          <w:szCs w:val="18"/>
        </w:rPr>
        <w:t>-</w:t>
      </w:r>
      <w:r w:rsidRPr="00461CB3">
        <w:rPr>
          <w:rFonts w:ascii="Arial" w:hAnsi="Arial" w:cs="Arial"/>
          <w:b/>
          <w:i/>
          <w:sz w:val="18"/>
          <w:szCs w:val="18"/>
        </w:rPr>
        <w:t>graders</w:t>
      </w:r>
      <w:r w:rsidR="007556D8">
        <w:rPr>
          <w:rFonts w:ascii="Arial" w:hAnsi="Arial" w:cs="Arial"/>
          <w:b/>
          <w:i/>
          <w:sz w:val="18"/>
          <w:szCs w:val="18"/>
        </w:rPr>
        <w:t>’</w:t>
      </w:r>
      <w:r w:rsidR="00210CCA" w:rsidRPr="00461CB3">
        <w:rPr>
          <w:rFonts w:ascii="Arial" w:hAnsi="Arial" w:cs="Arial"/>
          <w:b/>
          <w:i/>
          <w:sz w:val="18"/>
          <w:szCs w:val="18"/>
        </w:rPr>
        <w:t xml:space="preserve"> </w:t>
      </w:r>
      <w:r w:rsidR="007556D8">
        <w:rPr>
          <w:rFonts w:ascii="Arial" w:hAnsi="Arial" w:cs="Arial"/>
          <w:b/>
          <w:i/>
          <w:sz w:val="18"/>
          <w:szCs w:val="18"/>
        </w:rPr>
        <w:t>mathematics scores increase</w:t>
      </w:r>
      <w:r w:rsidR="00210CCA" w:rsidRPr="00461CB3">
        <w:rPr>
          <w:rFonts w:ascii="Arial" w:hAnsi="Arial" w:cs="Arial"/>
          <w:b/>
          <w:i/>
          <w:sz w:val="18"/>
          <w:szCs w:val="18"/>
        </w:rPr>
        <w:t xml:space="preserve">; </w:t>
      </w:r>
      <w:r w:rsidRPr="00461CB3">
        <w:rPr>
          <w:rFonts w:ascii="Arial" w:hAnsi="Arial" w:cs="Arial"/>
          <w:b/>
          <w:i/>
          <w:sz w:val="18"/>
          <w:szCs w:val="18"/>
        </w:rPr>
        <w:t>eighth</w:t>
      </w:r>
      <w:r w:rsidR="00E85BF0" w:rsidRPr="00461CB3">
        <w:rPr>
          <w:rFonts w:ascii="Arial" w:hAnsi="Arial" w:cs="Arial"/>
          <w:b/>
          <w:i/>
          <w:sz w:val="18"/>
          <w:szCs w:val="18"/>
        </w:rPr>
        <w:t>-</w:t>
      </w:r>
      <w:r w:rsidRPr="00461CB3">
        <w:rPr>
          <w:rFonts w:ascii="Arial" w:hAnsi="Arial" w:cs="Arial"/>
          <w:b/>
          <w:i/>
          <w:sz w:val="18"/>
          <w:szCs w:val="18"/>
        </w:rPr>
        <w:t>graders</w:t>
      </w:r>
      <w:r w:rsidR="007556D8">
        <w:rPr>
          <w:rFonts w:ascii="Arial" w:hAnsi="Arial" w:cs="Arial"/>
          <w:b/>
          <w:i/>
          <w:sz w:val="18"/>
          <w:szCs w:val="18"/>
        </w:rPr>
        <w:t>’ mathematics and reading scores decrease</w:t>
      </w:r>
    </w:p>
    <w:p w14:paraId="612EADA3" w14:textId="51F9318B" w:rsidR="00A103CE" w:rsidRPr="000039E5" w:rsidRDefault="00CD1094" w:rsidP="00C022FF">
      <w:pPr>
        <w:pStyle w:val="NormalWeb"/>
        <w:shd w:val="clear" w:color="auto" w:fill="FFFFFF" w:themeFill="background1"/>
        <w:spacing w:after="200" w:afterAutospacing="0" w:line="276" w:lineRule="auto"/>
        <w:rPr>
          <w:rFonts w:ascii="Arial" w:hAnsi="Arial" w:cs="Arial"/>
          <w:sz w:val="20"/>
          <w:szCs w:val="20"/>
        </w:rPr>
      </w:pPr>
      <w:r w:rsidRPr="00E849A9">
        <w:rPr>
          <w:rFonts w:ascii="Arial" w:hAnsi="Arial" w:cs="Arial"/>
          <w:sz w:val="20"/>
          <w:szCs w:val="20"/>
        </w:rPr>
        <w:t>WASHINGTON</w:t>
      </w:r>
      <w:r w:rsidR="003675EA">
        <w:rPr>
          <w:rFonts w:ascii="Arial" w:hAnsi="Arial" w:cs="Arial"/>
          <w:sz w:val="20"/>
          <w:szCs w:val="20"/>
        </w:rPr>
        <w:t xml:space="preserve"> (</w:t>
      </w:r>
      <w:r w:rsidR="00D53D09">
        <w:rPr>
          <w:rFonts w:ascii="Arial" w:hAnsi="Arial" w:cs="Arial"/>
          <w:sz w:val="20"/>
          <w:szCs w:val="20"/>
        </w:rPr>
        <w:t>Oct. 30</w:t>
      </w:r>
      <w:r w:rsidR="003675EA">
        <w:rPr>
          <w:rFonts w:ascii="Arial" w:hAnsi="Arial" w:cs="Arial"/>
          <w:sz w:val="20"/>
          <w:szCs w:val="20"/>
        </w:rPr>
        <w:t>, 201</w:t>
      </w:r>
      <w:r w:rsidR="00D53D09">
        <w:rPr>
          <w:rFonts w:ascii="Arial" w:hAnsi="Arial" w:cs="Arial"/>
          <w:sz w:val="20"/>
          <w:szCs w:val="20"/>
        </w:rPr>
        <w:t>9</w:t>
      </w:r>
      <w:r w:rsidR="003675EA">
        <w:rPr>
          <w:rFonts w:ascii="Arial" w:hAnsi="Arial" w:cs="Arial"/>
          <w:sz w:val="20"/>
          <w:szCs w:val="20"/>
        </w:rPr>
        <w:t>)</w:t>
      </w:r>
      <w:r w:rsidRPr="00E849A9">
        <w:rPr>
          <w:rFonts w:ascii="Arial" w:hAnsi="Arial" w:cs="Arial"/>
          <w:sz w:val="20"/>
          <w:szCs w:val="20"/>
        </w:rPr>
        <w:t>—</w:t>
      </w:r>
      <w:r w:rsidR="00EA7381">
        <w:rPr>
          <w:rFonts w:ascii="Arial" w:hAnsi="Arial" w:cs="Arial"/>
          <w:sz w:val="20"/>
          <w:szCs w:val="20"/>
        </w:rPr>
        <w:t>The a</w:t>
      </w:r>
      <w:r w:rsidRPr="00E849A9">
        <w:rPr>
          <w:rFonts w:ascii="Arial" w:hAnsi="Arial" w:cs="Arial"/>
          <w:sz w:val="20"/>
          <w:szCs w:val="20"/>
        </w:rPr>
        <w:t xml:space="preserve">verage </w:t>
      </w:r>
      <w:r w:rsidR="00D67570">
        <w:rPr>
          <w:rFonts w:ascii="Arial" w:hAnsi="Arial" w:cs="Arial"/>
          <w:sz w:val="20"/>
          <w:szCs w:val="20"/>
        </w:rPr>
        <w:t xml:space="preserve">reading score for </w:t>
      </w:r>
      <w:r w:rsidR="00124581">
        <w:rPr>
          <w:rFonts w:ascii="Arial" w:hAnsi="Arial" w:cs="Arial"/>
          <w:sz w:val="20"/>
          <w:szCs w:val="20"/>
        </w:rPr>
        <w:t>American</w:t>
      </w:r>
      <w:r w:rsidR="00EA7381">
        <w:rPr>
          <w:rFonts w:ascii="Arial" w:hAnsi="Arial" w:cs="Arial"/>
          <w:sz w:val="20"/>
          <w:szCs w:val="20"/>
        </w:rPr>
        <w:t xml:space="preserve"> </w:t>
      </w:r>
      <w:r w:rsidR="007208C1">
        <w:rPr>
          <w:rFonts w:ascii="Arial" w:hAnsi="Arial" w:cs="Arial"/>
          <w:sz w:val="20"/>
          <w:szCs w:val="20"/>
        </w:rPr>
        <w:t xml:space="preserve">fourth- and </w:t>
      </w:r>
      <w:r w:rsidR="00A738AD">
        <w:rPr>
          <w:rFonts w:ascii="Arial" w:hAnsi="Arial" w:cs="Arial"/>
          <w:sz w:val="20"/>
          <w:szCs w:val="20"/>
        </w:rPr>
        <w:t>eighth-</w:t>
      </w:r>
      <w:r w:rsidR="00B545E8" w:rsidRPr="00E849A9">
        <w:rPr>
          <w:rFonts w:ascii="Arial" w:hAnsi="Arial" w:cs="Arial"/>
          <w:sz w:val="20"/>
          <w:szCs w:val="20"/>
        </w:rPr>
        <w:t>grade</w:t>
      </w:r>
      <w:r w:rsidR="00326C3E">
        <w:rPr>
          <w:rFonts w:ascii="Arial" w:hAnsi="Arial" w:cs="Arial"/>
          <w:sz w:val="20"/>
          <w:szCs w:val="20"/>
        </w:rPr>
        <w:t xml:space="preserve"> students </w:t>
      </w:r>
      <w:r w:rsidR="007C528B">
        <w:rPr>
          <w:rFonts w:ascii="Arial" w:hAnsi="Arial" w:cs="Arial"/>
          <w:sz w:val="20"/>
          <w:szCs w:val="20"/>
        </w:rPr>
        <w:t>decreased</w:t>
      </w:r>
      <w:r w:rsidR="00AE1B3B">
        <w:rPr>
          <w:rFonts w:ascii="Arial" w:hAnsi="Arial" w:cs="Arial"/>
          <w:sz w:val="20"/>
          <w:szCs w:val="20"/>
        </w:rPr>
        <w:t xml:space="preserve"> </w:t>
      </w:r>
      <w:r w:rsidR="0041680E">
        <w:rPr>
          <w:rFonts w:ascii="Arial" w:hAnsi="Arial" w:cs="Arial"/>
          <w:sz w:val="20"/>
          <w:szCs w:val="20"/>
        </w:rPr>
        <w:t>between 201</w:t>
      </w:r>
      <w:r w:rsidR="007C528B">
        <w:rPr>
          <w:rFonts w:ascii="Arial" w:hAnsi="Arial" w:cs="Arial"/>
          <w:sz w:val="20"/>
          <w:szCs w:val="20"/>
        </w:rPr>
        <w:t>7</w:t>
      </w:r>
      <w:r w:rsidR="006E0578" w:rsidRPr="00E849A9">
        <w:rPr>
          <w:rFonts w:ascii="Arial" w:hAnsi="Arial" w:cs="Arial"/>
          <w:sz w:val="20"/>
          <w:szCs w:val="20"/>
        </w:rPr>
        <w:t xml:space="preserve"> and 201</w:t>
      </w:r>
      <w:r w:rsidR="007C528B">
        <w:rPr>
          <w:rFonts w:ascii="Arial" w:hAnsi="Arial" w:cs="Arial"/>
          <w:sz w:val="20"/>
          <w:szCs w:val="20"/>
        </w:rPr>
        <w:t>9</w:t>
      </w:r>
      <w:r w:rsidR="006E0578" w:rsidRPr="00E849A9">
        <w:rPr>
          <w:rFonts w:ascii="Arial" w:hAnsi="Arial" w:cs="Arial"/>
          <w:sz w:val="20"/>
          <w:szCs w:val="20"/>
        </w:rPr>
        <w:t xml:space="preserve">, </w:t>
      </w:r>
      <w:r w:rsidR="00B545E8" w:rsidRPr="00E849A9">
        <w:rPr>
          <w:rFonts w:ascii="Arial" w:hAnsi="Arial" w:cs="Arial"/>
          <w:sz w:val="20"/>
          <w:szCs w:val="20"/>
        </w:rPr>
        <w:t>according to The Nation's Report Card</w:t>
      </w:r>
      <w:r w:rsidR="002C63F8">
        <w:rPr>
          <w:rFonts w:ascii="Arial" w:hAnsi="Arial" w:cs="Arial"/>
          <w:sz w:val="20"/>
          <w:szCs w:val="20"/>
        </w:rPr>
        <w:t>,</w:t>
      </w:r>
      <w:r w:rsidR="00B545E8" w:rsidRPr="00E849A9">
        <w:rPr>
          <w:rStyle w:val="apple-converted-space"/>
          <w:rFonts w:ascii="Arial" w:hAnsi="Arial" w:cs="Arial"/>
          <w:sz w:val="20"/>
          <w:szCs w:val="20"/>
        </w:rPr>
        <w:t> released today</w:t>
      </w:r>
      <w:r w:rsidR="00036F3E">
        <w:rPr>
          <w:rStyle w:val="apple-converted-space"/>
          <w:rFonts w:ascii="Arial" w:hAnsi="Arial" w:cs="Arial"/>
          <w:sz w:val="20"/>
          <w:szCs w:val="20"/>
        </w:rPr>
        <w:t xml:space="preserve"> by the National Center for Education Statistics</w:t>
      </w:r>
      <w:r w:rsidR="00B7366A">
        <w:rPr>
          <w:rStyle w:val="apple-converted-space"/>
          <w:rFonts w:ascii="Arial" w:hAnsi="Arial" w:cs="Arial"/>
          <w:sz w:val="20"/>
          <w:szCs w:val="20"/>
        </w:rPr>
        <w:t xml:space="preserve"> (NCES)</w:t>
      </w:r>
      <w:r w:rsidR="00E732D9">
        <w:rPr>
          <w:rStyle w:val="apple-converted-space"/>
          <w:rFonts w:ascii="Arial" w:hAnsi="Arial" w:cs="Arial"/>
          <w:sz w:val="20"/>
          <w:szCs w:val="20"/>
        </w:rPr>
        <w:t xml:space="preserve">. </w:t>
      </w:r>
      <w:r w:rsidR="00246BDE">
        <w:rPr>
          <w:rStyle w:val="apple-converted-space"/>
          <w:rFonts w:ascii="Arial" w:hAnsi="Arial" w:cs="Arial"/>
          <w:sz w:val="20"/>
          <w:szCs w:val="20"/>
        </w:rPr>
        <w:t>Changes in m</w:t>
      </w:r>
      <w:r w:rsidR="00E732D9">
        <w:rPr>
          <w:rStyle w:val="apple-converted-space"/>
          <w:rFonts w:ascii="Arial" w:hAnsi="Arial" w:cs="Arial"/>
          <w:sz w:val="20"/>
          <w:szCs w:val="20"/>
        </w:rPr>
        <w:t>athematics scores were mi</w:t>
      </w:r>
      <w:r w:rsidR="009E501F">
        <w:rPr>
          <w:rStyle w:val="apple-converted-space"/>
          <w:rFonts w:ascii="Arial" w:hAnsi="Arial" w:cs="Arial"/>
          <w:sz w:val="20"/>
          <w:szCs w:val="20"/>
        </w:rPr>
        <w:t>x</w:t>
      </w:r>
      <w:r w:rsidR="00E732D9">
        <w:rPr>
          <w:rStyle w:val="apple-converted-space"/>
          <w:rFonts w:ascii="Arial" w:hAnsi="Arial" w:cs="Arial"/>
          <w:sz w:val="20"/>
          <w:szCs w:val="20"/>
        </w:rPr>
        <w:t xml:space="preserve">ed </w:t>
      </w:r>
      <w:r w:rsidR="00095E5F">
        <w:rPr>
          <w:rStyle w:val="apple-converted-space"/>
          <w:rFonts w:ascii="Arial" w:hAnsi="Arial" w:cs="Arial"/>
          <w:sz w:val="20"/>
          <w:szCs w:val="20"/>
        </w:rPr>
        <w:t>over the two-year period</w:t>
      </w:r>
      <w:r w:rsidR="00E461AE">
        <w:rPr>
          <w:rStyle w:val="apple-converted-space"/>
          <w:rFonts w:ascii="Arial" w:hAnsi="Arial" w:cs="Arial"/>
          <w:sz w:val="20"/>
          <w:szCs w:val="20"/>
        </w:rPr>
        <w:t>,</w:t>
      </w:r>
      <w:r w:rsidR="009E501F">
        <w:rPr>
          <w:rStyle w:val="apple-converted-space"/>
          <w:rFonts w:ascii="Arial" w:hAnsi="Arial" w:cs="Arial"/>
          <w:sz w:val="20"/>
          <w:szCs w:val="20"/>
        </w:rPr>
        <w:t xml:space="preserve"> with </w:t>
      </w:r>
      <w:r w:rsidR="00246BDE">
        <w:rPr>
          <w:rStyle w:val="apple-converted-space"/>
          <w:rFonts w:ascii="Arial" w:hAnsi="Arial" w:cs="Arial"/>
          <w:sz w:val="20"/>
          <w:szCs w:val="20"/>
        </w:rPr>
        <w:t>an increase at grade 4</w:t>
      </w:r>
      <w:r w:rsidR="009E501F">
        <w:rPr>
          <w:rStyle w:val="apple-converted-space"/>
          <w:rFonts w:ascii="Arial" w:hAnsi="Arial" w:cs="Arial"/>
          <w:sz w:val="20"/>
          <w:szCs w:val="20"/>
        </w:rPr>
        <w:t xml:space="preserve"> and </w:t>
      </w:r>
      <w:r w:rsidR="00246BDE">
        <w:rPr>
          <w:rStyle w:val="apple-converted-space"/>
          <w:rFonts w:ascii="Arial" w:hAnsi="Arial" w:cs="Arial"/>
          <w:sz w:val="20"/>
          <w:szCs w:val="20"/>
        </w:rPr>
        <w:t>a decrease at grade 8.</w:t>
      </w:r>
    </w:p>
    <w:p w14:paraId="437EE52B" w14:textId="74A49D99" w:rsidR="00E461AE" w:rsidRDefault="009E501F" w:rsidP="00FB212A">
      <w:pPr>
        <w:pStyle w:val="NormalWeb"/>
        <w:shd w:val="clear" w:color="auto" w:fill="FFFFFF" w:themeFill="background1"/>
        <w:spacing w:before="0" w:beforeAutospacing="0" w:after="200" w:afterAutospacing="0" w:line="276" w:lineRule="auto"/>
        <w:rPr>
          <w:rFonts w:ascii="Arial" w:hAnsi="Arial" w:cs="Arial"/>
          <w:sz w:val="20"/>
          <w:szCs w:val="20"/>
          <w:shd w:val="clear" w:color="auto" w:fill="FFFFFF"/>
        </w:rPr>
      </w:pPr>
      <w:r>
        <w:rPr>
          <w:rFonts w:ascii="Arial" w:hAnsi="Arial" w:cs="Arial"/>
          <w:sz w:val="20"/>
          <w:szCs w:val="20"/>
          <w:shd w:val="clear" w:color="auto" w:fill="FFFFFF"/>
        </w:rPr>
        <w:t>The declines in reading at both grades were</w:t>
      </w:r>
      <w:r w:rsidR="00B62CF0">
        <w:rPr>
          <w:rFonts w:ascii="Arial" w:hAnsi="Arial" w:cs="Arial"/>
          <w:sz w:val="20"/>
          <w:szCs w:val="20"/>
          <w:shd w:val="clear" w:color="auto" w:fill="FFFFFF"/>
        </w:rPr>
        <w:t xml:space="preserve"> seen </w:t>
      </w:r>
      <w:r w:rsidR="00326C3E">
        <w:rPr>
          <w:rFonts w:ascii="Arial" w:hAnsi="Arial" w:cs="Arial"/>
          <w:sz w:val="20"/>
          <w:szCs w:val="20"/>
          <w:shd w:val="clear" w:color="auto" w:fill="FFFFFF"/>
        </w:rPr>
        <w:t>at all levels</w:t>
      </w:r>
      <w:r w:rsidR="002545E1">
        <w:rPr>
          <w:rFonts w:ascii="Arial" w:hAnsi="Arial" w:cs="Arial"/>
          <w:sz w:val="20"/>
          <w:szCs w:val="20"/>
          <w:shd w:val="clear" w:color="auto" w:fill="FFFFFF"/>
        </w:rPr>
        <w:t xml:space="preserve"> of achievement</w:t>
      </w:r>
      <w:r w:rsidR="00326C3E">
        <w:rPr>
          <w:rFonts w:ascii="Arial" w:hAnsi="Arial" w:cs="Arial"/>
          <w:sz w:val="20"/>
          <w:szCs w:val="20"/>
          <w:shd w:val="clear" w:color="auto" w:fill="FFFFFF"/>
        </w:rPr>
        <w:t xml:space="preserve">, </w:t>
      </w:r>
      <w:r>
        <w:rPr>
          <w:rFonts w:ascii="Arial" w:hAnsi="Arial" w:cs="Arial"/>
          <w:sz w:val="20"/>
          <w:szCs w:val="20"/>
          <w:shd w:val="clear" w:color="auto" w:fill="FFFFFF"/>
        </w:rPr>
        <w:t xml:space="preserve">whether </w:t>
      </w:r>
      <w:r w:rsidR="00AD7D3D">
        <w:rPr>
          <w:rFonts w:ascii="Arial" w:hAnsi="Arial" w:cs="Arial"/>
          <w:sz w:val="20"/>
          <w:szCs w:val="20"/>
          <w:shd w:val="clear" w:color="auto" w:fill="FFFFFF"/>
        </w:rPr>
        <w:t xml:space="preserve">students </w:t>
      </w:r>
      <w:r w:rsidR="00B927B4">
        <w:rPr>
          <w:rFonts w:ascii="Arial" w:hAnsi="Arial" w:cs="Arial"/>
          <w:sz w:val="20"/>
          <w:szCs w:val="20"/>
          <w:shd w:val="clear" w:color="auto" w:fill="FFFFFF"/>
        </w:rPr>
        <w:t>were</w:t>
      </w:r>
      <w:r>
        <w:rPr>
          <w:rFonts w:ascii="Arial" w:hAnsi="Arial" w:cs="Arial"/>
          <w:sz w:val="20"/>
          <w:szCs w:val="20"/>
          <w:shd w:val="clear" w:color="auto" w:fill="FFFFFF"/>
        </w:rPr>
        <w:t xml:space="preserve"> high</w:t>
      </w:r>
      <w:r w:rsidR="00406192">
        <w:rPr>
          <w:rFonts w:ascii="Arial" w:hAnsi="Arial" w:cs="Arial"/>
          <w:sz w:val="20"/>
          <w:szCs w:val="20"/>
          <w:shd w:val="clear" w:color="auto" w:fill="FFFFFF"/>
        </w:rPr>
        <w:t>-</w:t>
      </w:r>
      <w:r>
        <w:rPr>
          <w:rFonts w:ascii="Arial" w:hAnsi="Arial" w:cs="Arial"/>
          <w:sz w:val="20"/>
          <w:szCs w:val="20"/>
          <w:shd w:val="clear" w:color="auto" w:fill="FFFFFF"/>
        </w:rPr>
        <w:t xml:space="preserve"> or low</w:t>
      </w:r>
      <w:r w:rsidR="00406192">
        <w:rPr>
          <w:rFonts w:ascii="Arial" w:hAnsi="Arial" w:cs="Arial"/>
          <w:sz w:val="20"/>
          <w:szCs w:val="20"/>
          <w:shd w:val="clear" w:color="auto" w:fill="FFFFFF"/>
        </w:rPr>
        <w:t>-</w:t>
      </w:r>
      <w:r>
        <w:rPr>
          <w:rFonts w:ascii="Arial" w:hAnsi="Arial" w:cs="Arial"/>
          <w:sz w:val="20"/>
          <w:szCs w:val="20"/>
          <w:shd w:val="clear" w:color="auto" w:fill="FFFFFF"/>
        </w:rPr>
        <w:t>achieving</w:t>
      </w:r>
      <w:r w:rsidR="00863607">
        <w:rPr>
          <w:rFonts w:ascii="Arial" w:hAnsi="Arial" w:cs="Arial"/>
          <w:sz w:val="20"/>
          <w:szCs w:val="20"/>
          <w:shd w:val="clear" w:color="auto" w:fill="FFFFFF"/>
        </w:rPr>
        <w:t xml:space="preserve">, with the exception of the </w:t>
      </w:r>
      <w:r w:rsidR="00CB210A">
        <w:rPr>
          <w:rFonts w:ascii="Arial" w:hAnsi="Arial" w:cs="Arial"/>
          <w:sz w:val="20"/>
          <w:szCs w:val="20"/>
          <w:shd w:val="clear" w:color="auto" w:fill="FFFFFF"/>
        </w:rPr>
        <w:t xml:space="preserve">highest achieving </w:t>
      </w:r>
      <w:r w:rsidR="00863607">
        <w:rPr>
          <w:rFonts w:ascii="Arial" w:hAnsi="Arial" w:cs="Arial"/>
          <w:sz w:val="20"/>
          <w:szCs w:val="20"/>
          <w:shd w:val="clear" w:color="auto" w:fill="FFFFFF"/>
        </w:rPr>
        <w:t>fourth-graders</w:t>
      </w:r>
      <w:r w:rsidR="00FC3482">
        <w:rPr>
          <w:rFonts w:ascii="Arial" w:hAnsi="Arial" w:cs="Arial"/>
          <w:sz w:val="20"/>
          <w:szCs w:val="20"/>
          <w:shd w:val="clear" w:color="auto" w:fill="FFFFFF"/>
        </w:rPr>
        <w:t xml:space="preserve"> (those at the 90</w:t>
      </w:r>
      <w:r w:rsidR="00FC3482" w:rsidRPr="00AD7D3D">
        <w:rPr>
          <w:rFonts w:ascii="Arial" w:hAnsi="Arial" w:cs="Arial"/>
          <w:sz w:val="20"/>
          <w:szCs w:val="20"/>
          <w:shd w:val="clear" w:color="auto" w:fill="FFFFFF"/>
          <w:vertAlign w:val="superscript"/>
        </w:rPr>
        <w:t>th</w:t>
      </w:r>
      <w:r w:rsidR="00FC3482">
        <w:rPr>
          <w:rFonts w:ascii="Arial" w:hAnsi="Arial" w:cs="Arial"/>
          <w:sz w:val="20"/>
          <w:szCs w:val="20"/>
          <w:shd w:val="clear" w:color="auto" w:fill="FFFFFF"/>
        </w:rPr>
        <w:t xml:space="preserve"> percentile of achievement)</w:t>
      </w:r>
      <w:r>
        <w:rPr>
          <w:rFonts w:ascii="Arial" w:hAnsi="Arial" w:cs="Arial"/>
          <w:sz w:val="20"/>
          <w:szCs w:val="20"/>
          <w:shd w:val="clear" w:color="auto" w:fill="FFFFFF"/>
        </w:rPr>
        <w:t xml:space="preserve">. By contrast, </w:t>
      </w:r>
      <w:r w:rsidR="009A7B63">
        <w:rPr>
          <w:rFonts w:ascii="Arial" w:hAnsi="Arial" w:cs="Arial"/>
          <w:sz w:val="20"/>
          <w:szCs w:val="20"/>
          <w:shd w:val="clear" w:color="auto" w:fill="FFFFFF"/>
        </w:rPr>
        <w:t xml:space="preserve">score declines for </w:t>
      </w:r>
      <w:r w:rsidR="0091516F">
        <w:rPr>
          <w:rFonts w:ascii="Arial" w:hAnsi="Arial" w:cs="Arial"/>
          <w:sz w:val="20"/>
          <w:szCs w:val="20"/>
          <w:shd w:val="clear" w:color="auto" w:fill="FFFFFF"/>
        </w:rPr>
        <w:t xml:space="preserve">lower performing students </w:t>
      </w:r>
      <w:r w:rsidR="00A8232C">
        <w:rPr>
          <w:rFonts w:ascii="Arial" w:hAnsi="Arial" w:cs="Arial"/>
          <w:sz w:val="20"/>
          <w:szCs w:val="20"/>
          <w:shd w:val="clear" w:color="auto" w:fill="FFFFFF"/>
        </w:rPr>
        <w:t xml:space="preserve">drove the overall score </w:t>
      </w:r>
      <w:r>
        <w:rPr>
          <w:rFonts w:ascii="Arial" w:hAnsi="Arial" w:cs="Arial"/>
          <w:sz w:val="20"/>
          <w:szCs w:val="20"/>
          <w:shd w:val="clear" w:color="auto" w:fill="FFFFFF"/>
        </w:rPr>
        <w:t>decrease in</w:t>
      </w:r>
      <w:r w:rsidR="00A8232C">
        <w:rPr>
          <w:rFonts w:ascii="Arial" w:hAnsi="Arial" w:cs="Arial"/>
          <w:sz w:val="20"/>
          <w:szCs w:val="20"/>
          <w:shd w:val="clear" w:color="auto" w:fill="FFFFFF"/>
        </w:rPr>
        <w:t xml:space="preserve"> grade 8 mathematics.</w:t>
      </w:r>
      <w:r>
        <w:rPr>
          <w:rFonts w:ascii="Arial" w:hAnsi="Arial" w:cs="Arial"/>
          <w:sz w:val="20"/>
          <w:szCs w:val="20"/>
          <w:shd w:val="clear" w:color="auto" w:fill="FFFFFF"/>
        </w:rPr>
        <w:t xml:space="preserve"> </w:t>
      </w:r>
    </w:p>
    <w:p w14:paraId="00C456FF" w14:textId="101B3EE6" w:rsidR="00564F61" w:rsidRDefault="00171D8C" w:rsidP="00FB212A">
      <w:pPr>
        <w:pStyle w:val="NormalWeb"/>
        <w:shd w:val="clear" w:color="auto" w:fill="FFFFFF" w:themeFill="background1"/>
        <w:spacing w:before="0" w:beforeAutospacing="0" w:after="200" w:afterAutospacing="0" w:line="276" w:lineRule="auto"/>
        <w:rPr>
          <w:rFonts w:ascii="Arial" w:hAnsi="Arial" w:cs="Arial"/>
          <w:sz w:val="20"/>
          <w:szCs w:val="20"/>
        </w:rPr>
      </w:pPr>
      <w:r>
        <w:rPr>
          <w:rFonts w:ascii="Arial" w:hAnsi="Arial" w:cs="Arial"/>
          <w:sz w:val="20"/>
          <w:szCs w:val="20"/>
        </w:rPr>
        <w:t>“</w:t>
      </w:r>
      <w:r w:rsidR="00EB4452">
        <w:rPr>
          <w:rFonts w:ascii="Arial" w:hAnsi="Arial" w:cs="Arial"/>
          <w:sz w:val="20"/>
          <w:szCs w:val="20"/>
        </w:rPr>
        <w:t xml:space="preserve">Over the </w:t>
      </w:r>
      <w:r w:rsidR="00541F3E">
        <w:rPr>
          <w:rFonts w:ascii="Arial" w:hAnsi="Arial" w:cs="Arial"/>
          <w:sz w:val="20"/>
          <w:szCs w:val="20"/>
        </w:rPr>
        <w:t>p</w:t>
      </w:r>
      <w:r w:rsidR="00EB4452">
        <w:rPr>
          <w:rFonts w:ascii="Arial" w:hAnsi="Arial" w:cs="Arial"/>
          <w:sz w:val="20"/>
          <w:szCs w:val="20"/>
        </w:rPr>
        <w:t>ast decade</w:t>
      </w:r>
      <w:r w:rsidR="00541F3E">
        <w:rPr>
          <w:rFonts w:ascii="Arial" w:hAnsi="Arial" w:cs="Arial"/>
          <w:sz w:val="20"/>
          <w:szCs w:val="20"/>
        </w:rPr>
        <w:t xml:space="preserve">, there has been no progress in </w:t>
      </w:r>
      <w:r w:rsidR="00070E80">
        <w:rPr>
          <w:rFonts w:ascii="Arial" w:hAnsi="Arial" w:cs="Arial"/>
          <w:sz w:val="20"/>
          <w:szCs w:val="20"/>
        </w:rPr>
        <w:t xml:space="preserve">either mathematics or </w:t>
      </w:r>
      <w:r w:rsidR="00541F3E">
        <w:rPr>
          <w:rFonts w:ascii="Arial" w:hAnsi="Arial" w:cs="Arial"/>
          <w:sz w:val="20"/>
          <w:szCs w:val="20"/>
        </w:rPr>
        <w:t>reading performance, and the lowest performing students are doing worse</w:t>
      </w:r>
      <w:r w:rsidR="00B17941">
        <w:rPr>
          <w:rFonts w:ascii="Arial" w:hAnsi="Arial" w:cs="Arial"/>
          <w:sz w:val="20"/>
          <w:szCs w:val="20"/>
        </w:rPr>
        <w:t>,” said Peggy G. Carr, NCES associate commissioner.</w:t>
      </w:r>
      <w:r w:rsidR="004F1379">
        <w:rPr>
          <w:rFonts w:ascii="Arial" w:hAnsi="Arial" w:cs="Arial"/>
          <w:sz w:val="20"/>
          <w:szCs w:val="20"/>
        </w:rPr>
        <w:t xml:space="preserve"> </w:t>
      </w:r>
      <w:r w:rsidR="00E85BF0">
        <w:rPr>
          <w:rFonts w:ascii="Arial" w:hAnsi="Arial" w:cs="Arial"/>
          <w:sz w:val="20"/>
          <w:szCs w:val="20"/>
        </w:rPr>
        <w:t>“</w:t>
      </w:r>
      <w:r w:rsidR="00070E80">
        <w:rPr>
          <w:rFonts w:ascii="Arial" w:hAnsi="Arial" w:cs="Arial"/>
          <w:sz w:val="20"/>
          <w:szCs w:val="20"/>
        </w:rPr>
        <w:t xml:space="preserve">In </w:t>
      </w:r>
      <w:r w:rsidR="00ED6429">
        <w:rPr>
          <w:rFonts w:ascii="Arial" w:hAnsi="Arial" w:cs="Arial"/>
          <w:sz w:val="20"/>
          <w:szCs w:val="20"/>
        </w:rPr>
        <w:t xml:space="preserve">fact, over the long term in </w:t>
      </w:r>
      <w:r w:rsidR="00070E80">
        <w:rPr>
          <w:rFonts w:ascii="Arial" w:hAnsi="Arial" w:cs="Arial"/>
          <w:sz w:val="20"/>
          <w:szCs w:val="20"/>
        </w:rPr>
        <w:t>reading, the lowest performing students</w:t>
      </w:r>
      <w:r w:rsidR="00177B36">
        <w:rPr>
          <w:rFonts w:ascii="Arial" w:hAnsi="Arial" w:cs="Arial"/>
          <w:sz w:val="20"/>
          <w:szCs w:val="20"/>
        </w:rPr>
        <w:t>—</w:t>
      </w:r>
      <w:r w:rsidR="00070E80">
        <w:rPr>
          <w:rFonts w:ascii="Arial" w:hAnsi="Arial" w:cs="Arial"/>
          <w:sz w:val="20"/>
          <w:szCs w:val="20"/>
        </w:rPr>
        <w:t>those readers who struggle the most</w:t>
      </w:r>
      <w:r w:rsidR="00177B36">
        <w:rPr>
          <w:rFonts w:ascii="Arial" w:hAnsi="Arial" w:cs="Arial"/>
          <w:sz w:val="20"/>
          <w:szCs w:val="20"/>
        </w:rPr>
        <w:t>—</w:t>
      </w:r>
      <w:r w:rsidR="00070E80">
        <w:rPr>
          <w:rFonts w:ascii="Arial" w:hAnsi="Arial" w:cs="Arial"/>
          <w:sz w:val="20"/>
          <w:szCs w:val="20"/>
        </w:rPr>
        <w:t xml:space="preserve">have made no progress from the first NAEP administration </w:t>
      </w:r>
      <w:r w:rsidR="00ED6429">
        <w:rPr>
          <w:rFonts w:ascii="Arial" w:hAnsi="Arial" w:cs="Arial"/>
          <w:sz w:val="20"/>
          <w:szCs w:val="20"/>
        </w:rPr>
        <w:t>almost 30 years ago</w:t>
      </w:r>
      <w:r w:rsidR="00070E80">
        <w:rPr>
          <w:rFonts w:ascii="Arial" w:hAnsi="Arial" w:cs="Arial"/>
          <w:sz w:val="20"/>
          <w:szCs w:val="20"/>
        </w:rPr>
        <w:t>.”</w:t>
      </w:r>
    </w:p>
    <w:p w14:paraId="30CE1BC5" w14:textId="0048A4F9" w:rsidR="00171D8C" w:rsidRDefault="00564F61" w:rsidP="00FB212A">
      <w:pPr>
        <w:pStyle w:val="NormalWeb"/>
        <w:shd w:val="clear" w:color="auto" w:fill="FFFFFF" w:themeFill="background1"/>
        <w:spacing w:before="0" w:beforeAutospacing="0" w:after="200" w:afterAutospacing="0" w:line="276" w:lineRule="auto"/>
        <w:rPr>
          <w:rFonts w:ascii="Arial" w:hAnsi="Arial" w:cs="Arial"/>
          <w:sz w:val="20"/>
          <w:szCs w:val="20"/>
        </w:rPr>
      </w:pPr>
      <w:r>
        <w:rPr>
          <w:rFonts w:ascii="Arial" w:hAnsi="Arial" w:cs="Arial"/>
          <w:sz w:val="20"/>
          <w:szCs w:val="20"/>
        </w:rPr>
        <w:t xml:space="preserve">Dr. Carr also noted that </w:t>
      </w:r>
      <w:r w:rsidR="00E732D9">
        <w:rPr>
          <w:rFonts w:ascii="Arial" w:hAnsi="Arial" w:cs="Arial"/>
          <w:sz w:val="20"/>
          <w:szCs w:val="20"/>
        </w:rPr>
        <w:t>eighth</w:t>
      </w:r>
      <w:r w:rsidR="00E461AE">
        <w:rPr>
          <w:rFonts w:ascii="Arial" w:hAnsi="Arial" w:cs="Arial"/>
          <w:sz w:val="20"/>
          <w:szCs w:val="20"/>
        </w:rPr>
        <w:t>-</w:t>
      </w:r>
      <w:r w:rsidR="00E732D9">
        <w:rPr>
          <w:rFonts w:ascii="Arial" w:hAnsi="Arial" w:cs="Arial"/>
          <w:sz w:val="20"/>
          <w:szCs w:val="20"/>
        </w:rPr>
        <w:t xml:space="preserve">graders’ performance declined in both reading and mathematics. </w:t>
      </w:r>
      <w:r>
        <w:rPr>
          <w:rFonts w:ascii="Arial" w:hAnsi="Arial" w:cs="Arial"/>
          <w:sz w:val="20"/>
          <w:szCs w:val="20"/>
        </w:rPr>
        <w:t>“</w:t>
      </w:r>
      <w:r w:rsidR="00326C3E">
        <w:rPr>
          <w:rFonts w:ascii="Arial" w:hAnsi="Arial" w:cs="Arial"/>
          <w:sz w:val="20"/>
          <w:szCs w:val="20"/>
        </w:rPr>
        <w:t xml:space="preserve">Eighth </w:t>
      </w:r>
      <w:r w:rsidR="004F1379">
        <w:rPr>
          <w:rFonts w:ascii="Arial" w:hAnsi="Arial" w:cs="Arial"/>
          <w:sz w:val="20"/>
          <w:szCs w:val="20"/>
        </w:rPr>
        <w:t xml:space="preserve">grade </w:t>
      </w:r>
      <w:r w:rsidR="00326C3E">
        <w:rPr>
          <w:rFonts w:ascii="Arial" w:hAnsi="Arial" w:cs="Arial"/>
          <w:sz w:val="20"/>
          <w:szCs w:val="20"/>
        </w:rPr>
        <w:t>is</w:t>
      </w:r>
      <w:r w:rsidR="004F1379">
        <w:rPr>
          <w:rFonts w:ascii="Arial" w:hAnsi="Arial" w:cs="Arial"/>
          <w:sz w:val="20"/>
          <w:szCs w:val="20"/>
        </w:rPr>
        <w:t xml:space="preserve"> a transitional point in preparing students for success in high school</w:t>
      </w:r>
      <w:r w:rsidR="00000D60">
        <w:rPr>
          <w:rFonts w:ascii="Arial" w:hAnsi="Arial" w:cs="Arial"/>
          <w:sz w:val="20"/>
          <w:szCs w:val="20"/>
        </w:rPr>
        <w:t>, so it is critical that researchers further explore the declines we are seeing here</w:t>
      </w:r>
      <w:r w:rsidR="004F1379">
        <w:rPr>
          <w:rFonts w:ascii="Arial" w:hAnsi="Arial" w:cs="Arial"/>
          <w:sz w:val="20"/>
          <w:szCs w:val="20"/>
        </w:rPr>
        <w:t>,</w:t>
      </w:r>
      <w:r w:rsidR="00607567">
        <w:rPr>
          <w:rFonts w:ascii="Arial" w:hAnsi="Arial" w:cs="Arial"/>
          <w:sz w:val="20"/>
          <w:szCs w:val="20"/>
        </w:rPr>
        <w:t xml:space="preserve"> especially the larger, </w:t>
      </w:r>
      <w:r w:rsidR="00AD7D3D">
        <w:rPr>
          <w:rFonts w:ascii="Arial" w:hAnsi="Arial" w:cs="Arial"/>
          <w:sz w:val="20"/>
          <w:szCs w:val="20"/>
        </w:rPr>
        <w:t xml:space="preserve">more </w:t>
      </w:r>
      <w:r w:rsidR="00607567">
        <w:rPr>
          <w:rFonts w:ascii="Arial" w:hAnsi="Arial" w:cs="Arial"/>
          <w:sz w:val="20"/>
          <w:szCs w:val="20"/>
        </w:rPr>
        <w:t xml:space="preserve">widespread declines </w:t>
      </w:r>
      <w:r w:rsidR="00B40BD6">
        <w:rPr>
          <w:rFonts w:ascii="Arial" w:hAnsi="Arial" w:cs="Arial"/>
          <w:sz w:val="20"/>
          <w:szCs w:val="20"/>
        </w:rPr>
        <w:t xml:space="preserve">across states </w:t>
      </w:r>
      <w:r w:rsidR="00607567">
        <w:rPr>
          <w:rFonts w:ascii="Arial" w:hAnsi="Arial" w:cs="Arial"/>
          <w:sz w:val="20"/>
          <w:szCs w:val="20"/>
        </w:rPr>
        <w:t>we are seeing in reading,</w:t>
      </w:r>
      <w:r w:rsidR="00000D60">
        <w:rPr>
          <w:rFonts w:ascii="Arial" w:hAnsi="Arial" w:cs="Arial"/>
          <w:sz w:val="20"/>
          <w:szCs w:val="20"/>
        </w:rPr>
        <w:t>"</w:t>
      </w:r>
      <w:r w:rsidR="004F1379">
        <w:rPr>
          <w:rFonts w:ascii="Arial" w:hAnsi="Arial" w:cs="Arial"/>
          <w:sz w:val="20"/>
          <w:szCs w:val="20"/>
        </w:rPr>
        <w:t xml:space="preserve"> </w:t>
      </w:r>
      <w:r>
        <w:rPr>
          <w:rFonts w:ascii="Arial" w:hAnsi="Arial" w:cs="Arial"/>
          <w:sz w:val="20"/>
          <w:szCs w:val="20"/>
        </w:rPr>
        <w:t>she said</w:t>
      </w:r>
      <w:r w:rsidR="00000D60">
        <w:rPr>
          <w:rFonts w:ascii="Arial" w:hAnsi="Arial" w:cs="Arial"/>
          <w:sz w:val="20"/>
          <w:szCs w:val="20"/>
        </w:rPr>
        <w:t>.</w:t>
      </w:r>
    </w:p>
    <w:p w14:paraId="70570097" w14:textId="77777777" w:rsidR="00264711" w:rsidRPr="00E849A9" w:rsidRDefault="000108CB" w:rsidP="00FB212A">
      <w:pPr>
        <w:pStyle w:val="NormalWeb"/>
        <w:shd w:val="clear" w:color="auto" w:fill="FFFFFF" w:themeFill="background1"/>
        <w:spacing w:before="0" w:beforeAutospacing="0" w:after="120" w:afterAutospacing="0" w:line="276" w:lineRule="auto"/>
        <w:rPr>
          <w:rFonts w:ascii="Arial" w:hAnsi="Arial" w:cs="Arial"/>
          <w:b/>
          <w:sz w:val="20"/>
          <w:szCs w:val="20"/>
        </w:rPr>
      </w:pPr>
      <w:r w:rsidRPr="00166131">
        <w:rPr>
          <w:rFonts w:ascii="Arial" w:hAnsi="Arial" w:cs="Arial"/>
          <w:b/>
          <w:sz w:val="20"/>
          <w:szCs w:val="20"/>
        </w:rPr>
        <w:t>National Results</w:t>
      </w:r>
    </w:p>
    <w:p w14:paraId="1601E185" w14:textId="0CC44531" w:rsidR="00E732D9" w:rsidRDefault="00E732D9" w:rsidP="00C022FF">
      <w:pPr>
        <w:pStyle w:val="NormalWeb"/>
        <w:spacing w:before="0" w:beforeAutospacing="0" w:line="276" w:lineRule="auto"/>
        <w:rPr>
          <w:rFonts w:ascii="Arial" w:hAnsi="Arial" w:cs="Arial"/>
          <w:sz w:val="20"/>
          <w:szCs w:val="20"/>
        </w:rPr>
      </w:pPr>
      <w:r w:rsidRPr="00E732D9">
        <w:rPr>
          <w:rFonts w:ascii="Arial" w:hAnsi="Arial" w:cs="Arial"/>
          <w:sz w:val="20"/>
          <w:szCs w:val="20"/>
        </w:rPr>
        <w:t>The National Assessment of Educational Progress (NAEP)—also known as The Nation's Report Card—is the largest nationally representative​ and continuing assessment of what students in the United States know and can do in various subject areas and is frequently referred to as the “gold standard” of student assessments.</w:t>
      </w:r>
      <w:r w:rsidR="001C25D8">
        <w:rPr>
          <w:rFonts w:ascii="Arial" w:hAnsi="Arial" w:cs="Arial"/>
          <w:sz w:val="20"/>
          <w:szCs w:val="20"/>
        </w:rPr>
        <w:t xml:space="preserve"> </w:t>
      </w:r>
      <w:r w:rsidR="004F0D7F">
        <w:rPr>
          <w:rFonts w:ascii="Arial" w:hAnsi="Arial" w:cs="Arial"/>
          <w:sz w:val="20"/>
          <w:szCs w:val="20"/>
        </w:rPr>
        <w:t xml:space="preserve">NCES designs and administers all NAEP assessments. </w:t>
      </w:r>
      <w:r w:rsidR="00A22677">
        <w:rPr>
          <w:rFonts w:ascii="Arial" w:hAnsi="Arial" w:cs="Arial"/>
          <w:sz w:val="20"/>
          <w:szCs w:val="20"/>
        </w:rPr>
        <w:t xml:space="preserve">In 2019, </w:t>
      </w:r>
      <w:r w:rsidR="004F0D7F">
        <w:rPr>
          <w:rFonts w:ascii="Arial" w:hAnsi="Arial" w:cs="Arial"/>
          <w:sz w:val="20"/>
          <w:szCs w:val="20"/>
        </w:rPr>
        <w:t>NCES assessed</w:t>
      </w:r>
      <w:r w:rsidR="00A22677">
        <w:rPr>
          <w:rFonts w:ascii="Arial" w:hAnsi="Arial" w:cs="Arial"/>
          <w:sz w:val="20"/>
          <w:szCs w:val="20"/>
        </w:rPr>
        <w:t xml:space="preserve"> approximately</w:t>
      </w:r>
      <w:r w:rsidR="004F0D7F">
        <w:rPr>
          <w:rFonts w:ascii="Arial" w:hAnsi="Arial" w:cs="Arial"/>
          <w:sz w:val="20"/>
          <w:szCs w:val="20"/>
        </w:rPr>
        <w:t xml:space="preserve"> </w:t>
      </w:r>
      <w:r w:rsidR="00A22677">
        <w:rPr>
          <w:rFonts w:ascii="Arial" w:hAnsi="Arial" w:cs="Arial"/>
          <w:sz w:val="20"/>
          <w:szCs w:val="20"/>
        </w:rPr>
        <w:t>293,700 students in reading and 296,900 students in mathematics.</w:t>
      </w:r>
      <w:r w:rsidR="004F0D7F">
        <w:rPr>
          <w:rFonts w:ascii="Arial" w:hAnsi="Arial" w:cs="Arial"/>
          <w:sz w:val="20"/>
          <w:szCs w:val="20"/>
        </w:rPr>
        <w:t xml:space="preserve"> </w:t>
      </w:r>
    </w:p>
    <w:p w14:paraId="7864811E" w14:textId="0E896B27" w:rsidR="00055AEE" w:rsidRPr="00055AEE" w:rsidRDefault="00055AEE" w:rsidP="00055AEE">
      <w:pPr>
        <w:pStyle w:val="NormalWeb"/>
        <w:spacing w:line="276" w:lineRule="auto"/>
        <w:rPr>
          <w:rFonts w:ascii="Arial" w:hAnsi="Arial" w:cs="Arial"/>
          <w:sz w:val="20"/>
          <w:szCs w:val="20"/>
        </w:rPr>
      </w:pPr>
      <w:r w:rsidRPr="00055AEE">
        <w:rPr>
          <w:rFonts w:ascii="Arial" w:hAnsi="Arial" w:cs="Arial"/>
          <w:sz w:val="20"/>
          <w:szCs w:val="20"/>
        </w:rPr>
        <w:t xml:space="preserve">The NAEP reading and mathematics </w:t>
      </w:r>
      <w:r w:rsidR="007556D8">
        <w:rPr>
          <w:rFonts w:ascii="Arial" w:hAnsi="Arial" w:cs="Arial"/>
          <w:sz w:val="20"/>
          <w:szCs w:val="20"/>
        </w:rPr>
        <w:t>scores are reported on a 500-</w:t>
      </w:r>
      <w:r w:rsidR="00AF4F8B">
        <w:rPr>
          <w:rFonts w:ascii="Arial" w:hAnsi="Arial" w:cs="Arial"/>
          <w:sz w:val="20"/>
          <w:szCs w:val="20"/>
        </w:rPr>
        <w:t>point scale established in the early 1990s.</w:t>
      </w:r>
      <w:r w:rsidRPr="00055AEE">
        <w:rPr>
          <w:rFonts w:ascii="Arial" w:hAnsi="Arial" w:cs="Arial"/>
          <w:sz w:val="20"/>
          <w:szCs w:val="20"/>
        </w:rPr>
        <w:t xml:space="preserve"> The average reading score for fourth-graders decreased one point, to 220, between 2017 and 2019. Eighth graders’ reading scores decreased three points, to 263. Compared to a decade ago, the 2019 average reading scores at each grade were not significantly different, but they were higher when compared to the assessment in 1992.</w:t>
      </w:r>
    </w:p>
    <w:p w14:paraId="609F1AC7" w14:textId="42BA51D6" w:rsidR="00055AEE" w:rsidRPr="00E732D9" w:rsidRDefault="00055AEE" w:rsidP="00055AEE">
      <w:pPr>
        <w:pStyle w:val="NormalWeb"/>
        <w:spacing w:before="0" w:beforeAutospacing="0" w:line="276" w:lineRule="auto"/>
        <w:rPr>
          <w:rFonts w:ascii="Arial" w:hAnsi="Arial" w:cs="Arial"/>
          <w:sz w:val="20"/>
          <w:szCs w:val="20"/>
        </w:rPr>
      </w:pPr>
      <w:r w:rsidRPr="00055AEE">
        <w:rPr>
          <w:rFonts w:ascii="Arial" w:hAnsi="Arial" w:cs="Arial"/>
          <w:sz w:val="20"/>
          <w:szCs w:val="20"/>
        </w:rPr>
        <w:t>In mathematics, the 2019 average score for fourth-graders, 241, was one point higher than in 2017. Eighth-graders scored one point lower, at 282. Over the past decade, average scores for mathematics at both grades did not change significantly. Mathematics scores were higher in 2019 than the first assessment in 1990.</w:t>
      </w:r>
    </w:p>
    <w:p w14:paraId="4FDF7F54" w14:textId="77777777" w:rsidR="00B568AE" w:rsidRDefault="00B568AE" w:rsidP="00FB212A">
      <w:pPr>
        <w:spacing w:after="200" w:line="276" w:lineRule="auto"/>
        <w:rPr>
          <w:rFonts w:ascii="Arial" w:eastAsia="Times New Roman" w:hAnsi="Arial" w:cs="Arial"/>
          <w:sz w:val="20"/>
          <w:szCs w:val="20"/>
        </w:rPr>
      </w:pPr>
      <w:r w:rsidRPr="00B568AE">
        <w:rPr>
          <w:rFonts w:ascii="Arial" w:eastAsia="Times New Roman" w:hAnsi="Arial" w:cs="Arial"/>
          <w:sz w:val="20"/>
          <w:szCs w:val="20"/>
        </w:rPr>
        <w:lastRenderedPageBreak/>
        <w:t xml:space="preserve">“While mathematics scores typically have shown steady improvement over nearly 30 years of the NAEP program, we have seen little change in reading performance at both grades 4 and 8,” said James L. Woodworth, NCES commissioner. “It is especially discouraging to see declines for students at the lowest levels of achievement. Addressing these differences in growth needs to be a continued focus for research and policy.” </w:t>
      </w:r>
    </w:p>
    <w:p w14:paraId="5E5FBB9A" w14:textId="15D60DE3" w:rsidR="009306B3" w:rsidRDefault="009E501F" w:rsidP="00FB212A">
      <w:pPr>
        <w:spacing w:after="200" w:line="276" w:lineRule="auto"/>
        <w:rPr>
          <w:rFonts w:ascii="Arial" w:hAnsi="Arial" w:cs="Arial"/>
          <w:sz w:val="20"/>
          <w:szCs w:val="20"/>
          <w:shd w:val="clear" w:color="auto" w:fill="FFFFFF"/>
        </w:rPr>
      </w:pPr>
      <w:r w:rsidRPr="009E501F">
        <w:rPr>
          <w:rFonts w:ascii="Arial" w:hAnsi="Arial" w:cs="Arial"/>
          <w:sz w:val="20"/>
          <w:szCs w:val="20"/>
          <w:shd w:val="clear" w:color="auto" w:fill="FFFFFF"/>
        </w:rPr>
        <w:t xml:space="preserve">The Nation’s Report Card also </w:t>
      </w:r>
      <w:r w:rsidR="003C7913">
        <w:rPr>
          <w:rFonts w:ascii="Arial" w:hAnsi="Arial" w:cs="Arial"/>
          <w:sz w:val="20"/>
          <w:szCs w:val="20"/>
          <w:shd w:val="clear" w:color="auto" w:fill="FFFFFF"/>
        </w:rPr>
        <w:t>presents</w:t>
      </w:r>
      <w:r w:rsidR="003C7913" w:rsidRPr="009E501F">
        <w:rPr>
          <w:rFonts w:ascii="Arial" w:hAnsi="Arial" w:cs="Arial"/>
          <w:sz w:val="20"/>
          <w:szCs w:val="20"/>
          <w:shd w:val="clear" w:color="auto" w:fill="FFFFFF"/>
        </w:rPr>
        <w:t xml:space="preserve"> </w:t>
      </w:r>
      <w:r w:rsidRPr="009E501F">
        <w:rPr>
          <w:rFonts w:ascii="Arial" w:hAnsi="Arial" w:cs="Arial"/>
          <w:sz w:val="20"/>
          <w:szCs w:val="20"/>
          <w:shd w:val="clear" w:color="auto" w:fill="FFFFFF"/>
        </w:rPr>
        <w:t xml:space="preserve">data by different demographic groups, such as </w:t>
      </w:r>
      <w:r w:rsidR="00CC2089">
        <w:rPr>
          <w:rFonts w:ascii="Arial" w:hAnsi="Arial" w:cs="Arial"/>
          <w:sz w:val="20"/>
          <w:szCs w:val="20"/>
          <w:shd w:val="clear" w:color="auto" w:fill="FFFFFF"/>
        </w:rPr>
        <w:t>race/ethni</w:t>
      </w:r>
      <w:r w:rsidR="001D789E">
        <w:rPr>
          <w:rFonts w:ascii="Arial" w:hAnsi="Arial" w:cs="Arial"/>
          <w:sz w:val="20"/>
          <w:szCs w:val="20"/>
          <w:shd w:val="clear" w:color="auto" w:fill="FFFFFF"/>
        </w:rPr>
        <w:t>ci</w:t>
      </w:r>
      <w:r w:rsidR="00CC2089">
        <w:rPr>
          <w:rFonts w:ascii="Arial" w:hAnsi="Arial" w:cs="Arial"/>
          <w:sz w:val="20"/>
          <w:szCs w:val="20"/>
          <w:shd w:val="clear" w:color="auto" w:fill="FFFFFF"/>
        </w:rPr>
        <w:t>ty, gender,</w:t>
      </w:r>
      <w:r w:rsidR="005A1938">
        <w:rPr>
          <w:rFonts w:ascii="Arial" w:hAnsi="Arial" w:cs="Arial"/>
          <w:sz w:val="20"/>
          <w:szCs w:val="20"/>
          <w:shd w:val="clear" w:color="auto" w:fill="FFFFFF"/>
        </w:rPr>
        <w:t xml:space="preserve"> school type, </w:t>
      </w:r>
      <w:r w:rsidR="00F31E71">
        <w:rPr>
          <w:rFonts w:ascii="Arial" w:hAnsi="Arial" w:cs="Arial"/>
          <w:sz w:val="20"/>
          <w:szCs w:val="20"/>
          <w:shd w:val="clear" w:color="auto" w:fill="FFFFFF"/>
        </w:rPr>
        <w:t xml:space="preserve">and </w:t>
      </w:r>
      <w:r w:rsidR="00580B04">
        <w:rPr>
          <w:rFonts w:ascii="Arial" w:hAnsi="Arial" w:cs="Arial"/>
          <w:sz w:val="20"/>
          <w:szCs w:val="20"/>
          <w:shd w:val="clear" w:color="auto" w:fill="FFFFFF"/>
        </w:rPr>
        <w:t>region</w:t>
      </w:r>
      <w:r w:rsidRPr="009E501F">
        <w:rPr>
          <w:rFonts w:ascii="Arial" w:hAnsi="Arial" w:cs="Arial"/>
          <w:sz w:val="20"/>
          <w:szCs w:val="20"/>
          <w:shd w:val="clear" w:color="auto" w:fill="FFFFFF"/>
        </w:rPr>
        <w:t>. White and Black fourth-</w:t>
      </w:r>
      <w:r w:rsidR="00967443">
        <w:rPr>
          <w:rFonts w:ascii="Arial" w:hAnsi="Arial" w:cs="Arial"/>
          <w:sz w:val="20"/>
          <w:szCs w:val="20"/>
          <w:shd w:val="clear" w:color="auto" w:fill="FFFFFF"/>
        </w:rPr>
        <w:t xml:space="preserve"> and eighth-</w:t>
      </w:r>
      <w:r w:rsidRPr="009E501F">
        <w:rPr>
          <w:rFonts w:ascii="Arial" w:hAnsi="Arial" w:cs="Arial"/>
          <w:sz w:val="20"/>
          <w:szCs w:val="20"/>
          <w:shd w:val="clear" w:color="auto" w:fill="FFFFFF"/>
        </w:rPr>
        <w:t xml:space="preserve">grade students scored lower in reading in 2019 compared to 2017. </w:t>
      </w:r>
      <w:r w:rsidR="00967443" w:rsidRPr="009E501F">
        <w:rPr>
          <w:rFonts w:ascii="Arial" w:hAnsi="Arial" w:cs="Arial"/>
          <w:sz w:val="20"/>
          <w:szCs w:val="20"/>
          <w:shd w:val="clear" w:color="auto" w:fill="FFFFFF"/>
        </w:rPr>
        <w:t xml:space="preserve">Hispanic and American Indian/Alaska Native </w:t>
      </w:r>
      <w:r w:rsidR="00967443">
        <w:rPr>
          <w:rFonts w:ascii="Arial" w:hAnsi="Arial" w:cs="Arial"/>
          <w:sz w:val="20"/>
          <w:szCs w:val="20"/>
          <w:shd w:val="clear" w:color="auto" w:fill="FFFFFF"/>
        </w:rPr>
        <w:t>eighth-</w:t>
      </w:r>
      <w:r w:rsidR="00967443" w:rsidRPr="009E501F">
        <w:rPr>
          <w:rFonts w:ascii="Arial" w:hAnsi="Arial" w:cs="Arial"/>
          <w:sz w:val="20"/>
          <w:szCs w:val="20"/>
          <w:shd w:val="clear" w:color="auto" w:fill="FFFFFF"/>
        </w:rPr>
        <w:t>grade students</w:t>
      </w:r>
      <w:r w:rsidR="00967443">
        <w:rPr>
          <w:rFonts w:ascii="Arial" w:hAnsi="Arial" w:cs="Arial"/>
          <w:sz w:val="20"/>
          <w:szCs w:val="20"/>
          <w:shd w:val="clear" w:color="auto" w:fill="FFFFFF"/>
        </w:rPr>
        <w:t xml:space="preserve"> also scored lower in </w:t>
      </w:r>
      <w:r w:rsidRPr="009E501F">
        <w:rPr>
          <w:rFonts w:ascii="Arial" w:hAnsi="Arial" w:cs="Arial"/>
          <w:sz w:val="20"/>
          <w:szCs w:val="20"/>
          <w:shd w:val="clear" w:color="auto" w:fill="FFFFFF"/>
        </w:rPr>
        <w:t>reading</w:t>
      </w:r>
      <w:r w:rsidR="00967443">
        <w:rPr>
          <w:rFonts w:ascii="Arial" w:hAnsi="Arial" w:cs="Arial"/>
          <w:sz w:val="20"/>
          <w:szCs w:val="20"/>
          <w:shd w:val="clear" w:color="auto" w:fill="FFFFFF"/>
        </w:rPr>
        <w:t xml:space="preserve"> </w:t>
      </w:r>
      <w:r w:rsidRPr="009E501F">
        <w:rPr>
          <w:rFonts w:ascii="Arial" w:hAnsi="Arial" w:cs="Arial"/>
          <w:sz w:val="20"/>
          <w:szCs w:val="20"/>
          <w:shd w:val="clear" w:color="auto" w:fill="FFFFFF"/>
        </w:rPr>
        <w:t>in 2019 than in 2017. In mathematics, fourth-grade Hispanic students scored higher in 2019 than in 2017, and eighth-grade American Indian/Alaska Native students scored lower.</w:t>
      </w:r>
      <w:r w:rsidR="009306B3">
        <w:rPr>
          <w:rFonts w:ascii="Arial" w:hAnsi="Arial" w:cs="Arial"/>
          <w:sz w:val="20"/>
          <w:szCs w:val="20"/>
          <w:shd w:val="clear" w:color="auto" w:fill="FFFFFF"/>
        </w:rPr>
        <w:t xml:space="preserve"> Boys’ scores increased in fourth-grade mathematics but decreased in reading at both grades.</w:t>
      </w:r>
    </w:p>
    <w:p w14:paraId="5E4D300F" w14:textId="0AFF52F1" w:rsidR="00112155" w:rsidRPr="00BC20B4" w:rsidRDefault="00CD1094" w:rsidP="00FB212A">
      <w:pPr>
        <w:spacing w:after="200" w:line="276" w:lineRule="auto"/>
        <w:rPr>
          <w:rFonts w:ascii="Arial" w:hAnsi="Arial" w:cs="Arial"/>
          <w:iCs/>
          <w:sz w:val="20"/>
          <w:szCs w:val="20"/>
          <w:shd w:val="clear" w:color="auto" w:fill="FFFFFF"/>
        </w:rPr>
      </w:pPr>
      <w:r w:rsidRPr="00E849A9">
        <w:rPr>
          <w:rFonts w:ascii="Arial" w:hAnsi="Arial" w:cs="Arial"/>
          <w:sz w:val="20"/>
          <w:szCs w:val="20"/>
          <w:shd w:val="clear" w:color="auto" w:fill="FFFFFF"/>
        </w:rPr>
        <w:t>Student performance on NAEP also</w:t>
      </w:r>
      <w:r w:rsidR="00EF2302">
        <w:rPr>
          <w:rFonts w:ascii="Arial" w:hAnsi="Arial" w:cs="Arial"/>
          <w:sz w:val="20"/>
          <w:szCs w:val="20"/>
          <w:shd w:val="clear" w:color="auto" w:fill="FFFFFF"/>
        </w:rPr>
        <w:t xml:space="preserve"> is</w:t>
      </w:r>
      <w:r w:rsidRPr="00E849A9">
        <w:rPr>
          <w:rFonts w:ascii="Arial" w:hAnsi="Arial" w:cs="Arial"/>
          <w:sz w:val="20"/>
          <w:szCs w:val="20"/>
          <w:shd w:val="clear" w:color="auto" w:fill="FFFFFF"/>
        </w:rPr>
        <w:t xml:space="preserve"> reported by </w:t>
      </w:r>
      <w:r w:rsidR="007618B0">
        <w:rPr>
          <w:rFonts w:ascii="Arial" w:hAnsi="Arial" w:cs="Arial"/>
          <w:sz w:val="20"/>
          <w:szCs w:val="20"/>
          <w:shd w:val="clear" w:color="auto" w:fill="FFFFFF"/>
        </w:rPr>
        <w:t>the percentages of students reaching three</w:t>
      </w:r>
      <w:r w:rsidR="006E0AEE">
        <w:rPr>
          <w:rFonts w:ascii="Arial" w:hAnsi="Arial" w:cs="Arial"/>
          <w:sz w:val="20"/>
          <w:szCs w:val="20"/>
          <w:shd w:val="clear" w:color="auto" w:fill="FFFFFF"/>
        </w:rPr>
        <w:t xml:space="preserve"> </w:t>
      </w:r>
      <w:r w:rsidRPr="00E849A9">
        <w:rPr>
          <w:rFonts w:ascii="Arial" w:hAnsi="Arial" w:cs="Arial"/>
          <w:sz w:val="20"/>
          <w:szCs w:val="20"/>
          <w:shd w:val="clear" w:color="auto" w:fill="FFFFFF"/>
        </w:rPr>
        <w:t>achievement level</w:t>
      </w:r>
      <w:r w:rsidR="00085908">
        <w:rPr>
          <w:rFonts w:ascii="Arial" w:hAnsi="Arial" w:cs="Arial"/>
          <w:sz w:val="20"/>
          <w:szCs w:val="20"/>
          <w:shd w:val="clear" w:color="auto" w:fill="FFFFFF"/>
        </w:rPr>
        <w:t>s</w:t>
      </w:r>
      <w:r w:rsidR="007A3B15">
        <w:rPr>
          <w:rFonts w:ascii="Arial" w:hAnsi="Arial" w:cs="Arial"/>
          <w:sz w:val="20"/>
          <w:szCs w:val="20"/>
          <w:shd w:val="clear" w:color="auto" w:fill="FFFFFF"/>
        </w:rPr>
        <w:t xml:space="preserve">: </w:t>
      </w:r>
      <w:r w:rsidR="009F5F08">
        <w:rPr>
          <w:rFonts w:ascii="Arial" w:hAnsi="Arial" w:cs="Arial"/>
          <w:i/>
          <w:iCs/>
          <w:sz w:val="20"/>
          <w:szCs w:val="20"/>
          <w:shd w:val="clear" w:color="auto" w:fill="FFFFFF"/>
        </w:rPr>
        <w:t xml:space="preserve">NAEP </w:t>
      </w:r>
      <w:r w:rsidRPr="00E849A9">
        <w:rPr>
          <w:rFonts w:ascii="Arial" w:hAnsi="Arial" w:cs="Arial"/>
          <w:i/>
          <w:iCs/>
          <w:sz w:val="20"/>
          <w:szCs w:val="20"/>
          <w:shd w:val="clear" w:color="auto" w:fill="FFFFFF"/>
        </w:rPr>
        <w:t xml:space="preserve">Basic, </w:t>
      </w:r>
      <w:r w:rsidR="009F5F08">
        <w:rPr>
          <w:rFonts w:ascii="Arial" w:hAnsi="Arial" w:cs="Arial"/>
          <w:i/>
          <w:iCs/>
          <w:sz w:val="20"/>
          <w:szCs w:val="20"/>
          <w:shd w:val="clear" w:color="auto" w:fill="FFFFFF"/>
        </w:rPr>
        <w:t>NAEP</w:t>
      </w:r>
      <w:r w:rsidR="009F5F08" w:rsidRPr="00E849A9">
        <w:rPr>
          <w:rFonts w:ascii="Arial" w:hAnsi="Arial" w:cs="Arial"/>
          <w:i/>
          <w:iCs/>
          <w:sz w:val="20"/>
          <w:szCs w:val="20"/>
          <w:shd w:val="clear" w:color="auto" w:fill="FFFFFF"/>
        </w:rPr>
        <w:t xml:space="preserve"> </w:t>
      </w:r>
      <w:r w:rsidRPr="00E849A9">
        <w:rPr>
          <w:rFonts w:ascii="Arial" w:hAnsi="Arial" w:cs="Arial"/>
          <w:i/>
          <w:iCs/>
          <w:sz w:val="20"/>
          <w:szCs w:val="20"/>
          <w:shd w:val="clear" w:color="auto" w:fill="FFFFFF"/>
        </w:rPr>
        <w:t>Proficient</w:t>
      </w:r>
      <w:r w:rsidR="00F84512" w:rsidRPr="00E849A9">
        <w:rPr>
          <w:rFonts w:ascii="Arial" w:hAnsi="Arial" w:cs="Arial"/>
          <w:iCs/>
          <w:sz w:val="20"/>
          <w:szCs w:val="20"/>
          <w:shd w:val="clear" w:color="auto" w:fill="FFFFFF"/>
        </w:rPr>
        <w:t>,</w:t>
      </w:r>
      <w:r w:rsidRPr="00E849A9">
        <w:rPr>
          <w:rStyle w:val="apple-converted-space"/>
          <w:rFonts w:ascii="Arial" w:hAnsi="Arial" w:cs="Arial"/>
          <w:i/>
          <w:iCs/>
          <w:sz w:val="20"/>
          <w:szCs w:val="20"/>
          <w:shd w:val="clear" w:color="auto" w:fill="FFFFFF"/>
        </w:rPr>
        <w:t> </w:t>
      </w:r>
      <w:r w:rsidRPr="00E849A9">
        <w:rPr>
          <w:rFonts w:ascii="Arial" w:hAnsi="Arial" w:cs="Arial"/>
          <w:sz w:val="20"/>
          <w:szCs w:val="20"/>
          <w:shd w:val="clear" w:color="auto" w:fill="FFFFFF"/>
        </w:rPr>
        <w:t>and</w:t>
      </w:r>
      <w:r w:rsidRPr="00E849A9">
        <w:rPr>
          <w:rStyle w:val="apple-converted-space"/>
          <w:rFonts w:ascii="Arial" w:hAnsi="Arial" w:cs="Arial"/>
          <w:i/>
          <w:iCs/>
          <w:sz w:val="20"/>
          <w:szCs w:val="20"/>
          <w:shd w:val="clear" w:color="auto" w:fill="FFFFFF"/>
        </w:rPr>
        <w:t> </w:t>
      </w:r>
      <w:r w:rsidR="009F5F08">
        <w:rPr>
          <w:rFonts w:ascii="Arial" w:hAnsi="Arial" w:cs="Arial"/>
          <w:i/>
          <w:iCs/>
          <w:sz w:val="20"/>
          <w:szCs w:val="20"/>
          <w:shd w:val="clear" w:color="auto" w:fill="FFFFFF"/>
        </w:rPr>
        <w:t>NAEP</w:t>
      </w:r>
      <w:r w:rsidR="009F5F08" w:rsidRPr="00E849A9">
        <w:rPr>
          <w:rFonts w:ascii="Arial" w:hAnsi="Arial" w:cs="Arial"/>
          <w:i/>
          <w:iCs/>
          <w:sz w:val="20"/>
          <w:szCs w:val="20"/>
          <w:shd w:val="clear" w:color="auto" w:fill="FFFFFF"/>
        </w:rPr>
        <w:t xml:space="preserve"> </w:t>
      </w:r>
      <w:r w:rsidRPr="00E849A9">
        <w:rPr>
          <w:rFonts w:ascii="Arial" w:hAnsi="Arial" w:cs="Arial"/>
          <w:i/>
          <w:iCs/>
          <w:sz w:val="20"/>
          <w:szCs w:val="20"/>
          <w:shd w:val="clear" w:color="auto" w:fill="FFFFFF"/>
        </w:rPr>
        <w:t>Advanced</w:t>
      </w:r>
      <w:r w:rsidRPr="00E849A9">
        <w:rPr>
          <w:rFonts w:ascii="Arial" w:hAnsi="Arial" w:cs="Arial"/>
          <w:iCs/>
          <w:sz w:val="20"/>
          <w:szCs w:val="20"/>
          <w:shd w:val="clear" w:color="auto" w:fill="FFFFFF"/>
        </w:rPr>
        <w:t xml:space="preserve">. </w:t>
      </w:r>
      <w:r w:rsidR="00BC20B4">
        <w:rPr>
          <w:rFonts w:ascii="Arial" w:hAnsi="Arial" w:cs="Arial"/>
          <w:iCs/>
          <w:sz w:val="20"/>
          <w:szCs w:val="20"/>
          <w:shd w:val="clear" w:color="auto" w:fill="FFFFFF"/>
        </w:rPr>
        <w:t xml:space="preserve">For fourth- and eighth-grade reading, the percentage of students scoring at the </w:t>
      </w:r>
      <w:r w:rsidR="00BC20B4">
        <w:rPr>
          <w:rFonts w:ascii="Arial" w:hAnsi="Arial" w:cs="Arial"/>
          <w:i/>
          <w:sz w:val="20"/>
          <w:szCs w:val="20"/>
          <w:shd w:val="clear" w:color="auto" w:fill="FFFFFF"/>
        </w:rPr>
        <w:t xml:space="preserve">NAEP Proficient </w:t>
      </w:r>
      <w:r w:rsidR="00BC20B4">
        <w:rPr>
          <w:rFonts w:ascii="Arial" w:hAnsi="Arial" w:cs="Arial"/>
          <w:iCs/>
          <w:sz w:val="20"/>
          <w:szCs w:val="20"/>
          <w:shd w:val="clear" w:color="auto" w:fill="FFFFFF"/>
        </w:rPr>
        <w:t>level declined between 2017 and 2019. There was no significant change during that time for mathematics.</w:t>
      </w:r>
    </w:p>
    <w:p w14:paraId="039B7D1B" w14:textId="0C0D5EFE" w:rsidR="00112155" w:rsidRPr="00112155" w:rsidRDefault="00BC20B4" w:rsidP="00FB212A">
      <w:pPr>
        <w:spacing w:after="200" w:line="276" w:lineRule="auto"/>
        <w:rPr>
          <w:rFonts w:ascii="Arial" w:hAnsi="Arial" w:cs="Arial"/>
          <w:iCs/>
          <w:sz w:val="20"/>
          <w:szCs w:val="20"/>
          <w:shd w:val="clear" w:color="auto" w:fill="FFFFFF"/>
        </w:rPr>
      </w:pPr>
      <w:r>
        <w:rPr>
          <w:rFonts w:ascii="Arial" w:hAnsi="Arial" w:cs="Arial"/>
          <w:iCs/>
          <w:sz w:val="20"/>
          <w:szCs w:val="20"/>
          <w:shd w:val="clear" w:color="auto" w:fill="FFFFFF"/>
        </w:rPr>
        <w:t>The NAEP achievement levels are set by t</w:t>
      </w:r>
      <w:r w:rsidR="00112155" w:rsidRPr="00112155">
        <w:rPr>
          <w:rFonts w:ascii="Arial" w:hAnsi="Arial" w:cs="Arial"/>
          <w:iCs/>
          <w:sz w:val="20"/>
          <w:szCs w:val="20"/>
          <w:shd w:val="clear" w:color="auto" w:fill="FFFFFF"/>
        </w:rPr>
        <w:t>he National Assessment Governing Board, which sets policy for the NAEP program</w:t>
      </w:r>
      <w:r>
        <w:rPr>
          <w:rFonts w:ascii="Arial" w:hAnsi="Arial" w:cs="Arial"/>
          <w:iCs/>
          <w:sz w:val="20"/>
          <w:szCs w:val="20"/>
          <w:shd w:val="clear" w:color="auto" w:fill="FFFFFF"/>
        </w:rPr>
        <w:t xml:space="preserve">. </w:t>
      </w:r>
      <w:r w:rsidR="00112155" w:rsidRPr="00112155">
        <w:rPr>
          <w:rFonts w:ascii="Arial" w:hAnsi="Arial" w:cs="Arial"/>
          <w:iCs/>
          <w:sz w:val="20"/>
          <w:szCs w:val="20"/>
          <w:shd w:val="clear" w:color="auto" w:fill="FFFFFF"/>
        </w:rPr>
        <w:t>The NAEP achievement levels are used on a trial basis</w:t>
      </w:r>
      <w:r w:rsidR="00B91E86" w:rsidRPr="00B91E86">
        <w:rPr>
          <w:rFonts w:ascii="Arial" w:eastAsia="Calibri" w:hAnsi="Arial" w:cs="Arial"/>
          <w:sz w:val="24"/>
        </w:rPr>
        <w:t xml:space="preserve"> </w:t>
      </w:r>
      <w:r w:rsidR="00B91E86" w:rsidRPr="00B91E86">
        <w:rPr>
          <w:rFonts w:ascii="Arial" w:eastAsia="Calibri" w:hAnsi="Arial" w:cs="Arial"/>
          <w:sz w:val="20"/>
          <w:szCs w:val="20"/>
        </w:rPr>
        <w:t>and therefore should be interpreted with care to ensure a proper understanding of performance</w:t>
      </w:r>
      <w:r w:rsidR="00112155" w:rsidRPr="00112155">
        <w:rPr>
          <w:rFonts w:ascii="Arial" w:hAnsi="Arial" w:cs="Arial"/>
          <w:iCs/>
          <w:sz w:val="20"/>
          <w:szCs w:val="20"/>
          <w:shd w:val="clear" w:color="auto" w:fill="FFFFFF"/>
        </w:rPr>
        <w:t>.</w:t>
      </w:r>
    </w:p>
    <w:p w14:paraId="3C7B088B" w14:textId="2466E8CB" w:rsidR="00264711" w:rsidRPr="00E849A9" w:rsidRDefault="00264711" w:rsidP="00FB212A">
      <w:pPr>
        <w:spacing w:after="120" w:line="276" w:lineRule="auto"/>
        <w:rPr>
          <w:rFonts w:ascii="Arial" w:hAnsi="Arial" w:cs="Arial"/>
          <w:b/>
          <w:sz w:val="20"/>
          <w:szCs w:val="20"/>
        </w:rPr>
      </w:pPr>
      <w:r w:rsidRPr="00931B49">
        <w:rPr>
          <w:rFonts w:ascii="Arial" w:hAnsi="Arial" w:cs="Arial"/>
          <w:b/>
          <w:sz w:val="20"/>
          <w:szCs w:val="20"/>
        </w:rPr>
        <w:t>State</w:t>
      </w:r>
      <w:r w:rsidR="00BC20B4">
        <w:rPr>
          <w:rFonts w:ascii="Arial" w:hAnsi="Arial" w:cs="Arial"/>
          <w:b/>
          <w:sz w:val="20"/>
          <w:szCs w:val="20"/>
        </w:rPr>
        <w:t>/Jurisdiction</w:t>
      </w:r>
      <w:r w:rsidRPr="00931B49">
        <w:rPr>
          <w:rFonts w:ascii="Arial" w:hAnsi="Arial" w:cs="Arial"/>
          <w:b/>
          <w:sz w:val="20"/>
          <w:szCs w:val="20"/>
        </w:rPr>
        <w:t xml:space="preserve"> </w:t>
      </w:r>
      <w:r w:rsidR="000108CB" w:rsidRPr="00931B49">
        <w:rPr>
          <w:rFonts w:ascii="Arial" w:hAnsi="Arial" w:cs="Arial"/>
          <w:b/>
          <w:sz w:val="20"/>
          <w:szCs w:val="20"/>
        </w:rPr>
        <w:t>Results</w:t>
      </w:r>
    </w:p>
    <w:p w14:paraId="55E838E5" w14:textId="21B0C66A" w:rsidR="006E0AEE" w:rsidRPr="009F5F08" w:rsidRDefault="00967443" w:rsidP="009F5F08">
      <w:pPr>
        <w:pStyle w:val="ListParagraph"/>
        <w:numPr>
          <w:ilvl w:val="0"/>
          <w:numId w:val="12"/>
        </w:numPr>
        <w:spacing w:after="200" w:line="276" w:lineRule="auto"/>
        <w:rPr>
          <w:rFonts w:ascii="Arial" w:hAnsi="Arial" w:cs="Arial"/>
          <w:sz w:val="20"/>
          <w:szCs w:val="20"/>
        </w:rPr>
      </w:pPr>
      <w:r>
        <w:rPr>
          <w:rFonts w:ascii="Arial" w:hAnsi="Arial" w:cs="Arial"/>
          <w:sz w:val="20"/>
          <w:szCs w:val="20"/>
        </w:rPr>
        <w:t>I</w:t>
      </w:r>
      <w:r w:rsidRPr="00E11369">
        <w:rPr>
          <w:rFonts w:ascii="Arial" w:hAnsi="Arial" w:cs="Arial"/>
          <w:sz w:val="20"/>
          <w:szCs w:val="20"/>
        </w:rPr>
        <w:t>n fourth-grade reading</w:t>
      </w:r>
      <w:r w:rsidR="009F5F08">
        <w:rPr>
          <w:rFonts w:ascii="Arial" w:hAnsi="Arial" w:cs="Arial"/>
          <w:sz w:val="20"/>
          <w:szCs w:val="20"/>
        </w:rPr>
        <w:t>,</w:t>
      </w:r>
      <w:r w:rsidRPr="00E11369">
        <w:rPr>
          <w:rFonts w:ascii="Arial" w:hAnsi="Arial" w:cs="Arial"/>
          <w:sz w:val="20"/>
          <w:szCs w:val="20"/>
        </w:rPr>
        <w:t xml:space="preserve"> </w:t>
      </w:r>
      <w:r w:rsidR="009F5F08">
        <w:rPr>
          <w:rFonts w:ascii="Arial" w:hAnsi="Arial" w:cs="Arial"/>
          <w:sz w:val="20"/>
          <w:szCs w:val="20"/>
        </w:rPr>
        <w:t>17</w:t>
      </w:r>
      <w:r w:rsidRPr="009F5F08">
        <w:rPr>
          <w:rFonts w:ascii="Arial" w:hAnsi="Arial" w:cs="Arial"/>
          <w:sz w:val="20"/>
          <w:szCs w:val="20"/>
        </w:rPr>
        <w:t xml:space="preserve"> </w:t>
      </w:r>
      <w:r w:rsidR="006E0AEE" w:rsidRPr="009F5F08">
        <w:rPr>
          <w:rFonts w:ascii="Arial" w:hAnsi="Arial" w:cs="Arial"/>
          <w:sz w:val="20"/>
          <w:szCs w:val="20"/>
        </w:rPr>
        <w:t>states had declines between 2017 and 2019</w:t>
      </w:r>
      <w:r w:rsidR="00196463">
        <w:rPr>
          <w:rFonts w:ascii="Arial" w:hAnsi="Arial" w:cs="Arial"/>
          <w:sz w:val="20"/>
          <w:szCs w:val="20"/>
        </w:rPr>
        <w:t>,</w:t>
      </w:r>
      <w:r w:rsidR="006E0AEE" w:rsidRPr="009F5F08">
        <w:rPr>
          <w:rFonts w:ascii="Arial" w:hAnsi="Arial" w:cs="Arial"/>
          <w:sz w:val="20"/>
          <w:szCs w:val="20"/>
        </w:rPr>
        <w:t xml:space="preserve"> </w:t>
      </w:r>
      <w:r w:rsidR="00ED6429">
        <w:rPr>
          <w:rFonts w:ascii="Arial" w:hAnsi="Arial" w:cs="Arial"/>
          <w:sz w:val="20"/>
          <w:szCs w:val="20"/>
        </w:rPr>
        <w:t xml:space="preserve">while </w:t>
      </w:r>
      <w:r w:rsidR="00AF4F8B">
        <w:rPr>
          <w:rFonts w:ascii="Arial" w:hAnsi="Arial" w:cs="Arial"/>
          <w:sz w:val="20"/>
          <w:szCs w:val="20"/>
        </w:rPr>
        <w:t>one</w:t>
      </w:r>
      <w:r w:rsidR="00ED6429">
        <w:rPr>
          <w:rFonts w:ascii="Arial" w:hAnsi="Arial" w:cs="Arial"/>
          <w:sz w:val="20"/>
          <w:szCs w:val="20"/>
        </w:rPr>
        <w:t xml:space="preserve"> state improved</w:t>
      </w:r>
      <w:r w:rsidR="00196463">
        <w:rPr>
          <w:rFonts w:ascii="Arial" w:hAnsi="Arial" w:cs="Arial"/>
          <w:sz w:val="20"/>
          <w:szCs w:val="20"/>
        </w:rPr>
        <w:t>.</w:t>
      </w:r>
    </w:p>
    <w:p w14:paraId="39B04E01" w14:textId="05B9C711" w:rsidR="00321D98" w:rsidRDefault="00967443" w:rsidP="00967443">
      <w:pPr>
        <w:pStyle w:val="ListParagraph"/>
        <w:numPr>
          <w:ilvl w:val="0"/>
          <w:numId w:val="12"/>
        </w:numPr>
        <w:spacing w:after="200" w:line="276" w:lineRule="auto"/>
        <w:rPr>
          <w:rFonts w:ascii="Arial" w:hAnsi="Arial" w:cs="Arial"/>
          <w:sz w:val="20"/>
          <w:szCs w:val="20"/>
        </w:rPr>
      </w:pPr>
      <w:r>
        <w:rPr>
          <w:rFonts w:ascii="Arial" w:hAnsi="Arial" w:cs="Arial"/>
          <w:sz w:val="20"/>
          <w:szCs w:val="20"/>
        </w:rPr>
        <w:t xml:space="preserve">In </w:t>
      </w:r>
      <w:r w:rsidR="00FE5C21" w:rsidRPr="009F5F08">
        <w:rPr>
          <w:rFonts w:ascii="Arial" w:hAnsi="Arial" w:cs="Arial"/>
          <w:sz w:val="20"/>
          <w:szCs w:val="20"/>
        </w:rPr>
        <w:t>eighth-grade reading</w:t>
      </w:r>
      <w:r w:rsidR="009F5F08">
        <w:rPr>
          <w:rFonts w:ascii="Arial" w:hAnsi="Arial" w:cs="Arial"/>
          <w:sz w:val="20"/>
          <w:szCs w:val="20"/>
        </w:rPr>
        <w:t>,</w:t>
      </w:r>
      <w:r w:rsidR="00FE5C21" w:rsidRPr="009F5F08">
        <w:rPr>
          <w:rFonts w:ascii="Arial" w:hAnsi="Arial" w:cs="Arial"/>
          <w:sz w:val="20"/>
          <w:szCs w:val="20"/>
        </w:rPr>
        <w:t xml:space="preserve"> most states</w:t>
      </w:r>
      <w:r w:rsidR="003C7913">
        <w:rPr>
          <w:rFonts w:ascii="Arial" w:hAnsi="Arial" w:cs="Arial"/>
          <w:sz w:val="20"/>
          <w:szCs w:val="20"/>
        </w:rPr>
        <w:t xml:space="preserve"> (31)</w:t>
      </w:r>
      <w:r w:rsidR="00FE5C21" w:rsidRPr="009F5F08">
        <w:rPr>
          <w:rFonts w:ascii="Arial" w:hAnsi="Arial" w:cs="Arial"/>
          <w:sz w:val="20"/>
          <w:szCs w:val="20"/>
        </w:rPr>
        <w:t xml:space="preserve"> </w:t>
      </w:r>
      <w:r w:rsidR="006E0AEE" w:rsidRPr="009F5F08">
        <w:rPr>
          <w:rFonts w:ascii="Arial" w:hAnsi="Arial" w:cs="Arial"/>
          <w:sz w:val="20"/>
          <w:szCs w:val="20"/>
        </w:rPr>
        <w:t xml:space="preserve">also </w:t>
      </w:r>
      <w:r>
        <w:rPr>
          <w:rFonts w:ascii="Arial" w:hAnsi="Arial" w:cs="Arial"/>
          <w:sz w:val="20"/>
          <w:szCs w:val="20"/>
        </w:rPr>
        <w:t xml:space="preserve">had </w:t>
      </w:r>
      <w:r w:rsidR="003B44D1" w:rsidRPr="009F5F08">
        <w:rPr>
          <w:rFonts w:ascii="Arial" w:hAnsi="Arial" w:cs="Arial"/>
          <w:sz w:val="20"/>
          <w:szCs w:val="20"/>
        </w:rPr>
        <w:t>decrease</w:t>
      </w:r>
      <w:r>
        <w:rPr>
          <w:rFonts w:ascii="Arial" w:hAnsi="Arial" w:cs="Arial"/>
          <w:sz w:val="20"/>
          <w:szCs w:val="20"/>
        </w:rPr>
        <w:t>s</w:t>
      </w:r>
      <w:r w:rsidR="00196463">
        <w:rPr>
          <w:rFonts w:ascii="Arial" w:hAnsi="Arial" w:cs="Arial"/>
          <w:sz w:val="20"/>
          <w:szCs w:val="20"/>
        </w:rPr>
        <w:t>,</w:t>
      </w:r>
      <w:r w:rsidR="00ED6429">
        <w:rPr>
          <w:rFonts w:ascii="Arial" w:hAnsi="Arial" w:cs="Arial"/>
          <w:sz w:val="20"/>
          <w:szCs w:val="20"/>
        </w:rPr>
        <w:t xml:space="preserve"> while </w:t>
      </w:r>
      <w:r w:rsidR="00AF4F8B">
        <w:rPr>
          <w:rFonts w:ascii="Arial" w:hAnsi="Arial" w:cs="Arial"/>
          <w:sz w:val="20"/>
          <w:szCs w:val="20"/>
        </w:rPr>
        <w:t>one</w:t>
      </w:r>
      <w:r w:rsidR="00ED6429">
        <w:rPr>
          <w:rFonts w:ascii="Arial" w:hAnsi="Arial" w:cs="Arial"/>
          <w:sz w:val="20"/>
          <w:szCs w:val="20"/>
        </w:rPr>
        <w:t xml:space="preserve"> state improved.</w:t>
      </w:r>
    </w:p>
    <w:p w14:paraId="2986B697" w14:textId="3287D536" w:rsidR="00196463" w:rsidRDefault="006543C4" w:rsidP="00196463">
      <w:pPr>
        <w:pStyle w:val="ListParagraph"/>
        <w:numPr>
          <w:ilvl w:val="0"/>
          <w:numId w:val="12"/>
        </w:numPr>
        <w:spacing w:after="200" w:line="276" w:lineRule="auto"/>
        <w:rPr>
          <w:rFonts w:ascii="Arial" w:hAnsi="Arial" w:cs="Arial"/>
          <w:sz w:val="20"/>
          <w:szCs w:val="20"/>
        </w:rPr>
      </w:pPr>
      <w:r w:rsidRPr="006543C4">
        <w:rPr>
          <w:rFonts w:ascii="Arial" w:hAnsi="Arial" w:cs="Arial"/>
          <w:sz w:val="20"/>
          <w:szCs w:val="20"/>
        </w:rPr>
        <w:t>In fourth-grade mathematics</w:t>
      </w:r>
      <w:r>
        <w:rPr>
          <w:rFonts w:ascii="Arial" w:hAnsi="Arial" w:cs="Arial"/>
          <w:sz w:val="20"/>
          <w:szCs w:val="20"/>
        </w:rPr>
        <w:t>,</w:t>
      </w:r>
      <w:r w:rsidRPr="006543C4">
        <w:rPr>
          <w:rFonts w:ascii="Arial" w:hAnsi="Arial" w:cs="Arial"/>
          <w:sz w:val="20"/>
          <w:szCs w:val="20"/>
        </w:rPr>
        <w:t xml:space="preserve"> </w:t>
      </w:r>
      <w:r w:rsidR="00AF4F8B">
        <w:rPr>
          <w:rFonts w:ascii="Arial" w:hAnsi="Arial" w:cs="Arial"/>
          <w:sz w:val="20"/>
          <w:szCs w:val="20"/>
        </w:rPr>
        <w:t>three</w:t>
      </w:r>
      <w:r w:rsidR="00ED6429">
        <w:rPr>
          <w:rFonts w:ascii="Arial" w:hAnsi="Arial" w:cs="Arial"/>
          <w:sz w:val="20"/>
          <w:szCs w:val="20"/>
        </w:rPr>
        <w:t xml:space="preserve"> states declined</w:t>
      </w:r>
      <w:r w:rsidR="00196463">
        <w:rPr>
          <w:rFonts w:ascii="Arial" w:hAnsi="Arial" w:cs="Arial"/>
          <w:sz w:val="20"/>
          <w:szCs w:val="20"/>
        </w:rPr>
        <w:t>,</w:t>
      </w:r>
      <w:r w:rsidR="00ED6429">
        <w:rPr>
          <w:rFonts w:ascii="Arial" w:hAnsi="Arial" w:cs="Arial"/>
          <w:sz w:val="20"/>
          <w:szCs w:val="20"/>
        </w:rPr>
        <w:t xml:space="preserve"> while </w:t>
      </w:r>
      <w:r w:rsidRPr="006543C4">
        <w:rPr>
          <w:rFonts w:ascii="Arial" w:hAnsi="Arial" w:cs="Arial"/>
          <w:sz w:val="20"/>
          <w:szCs w:val="20"/>
        </w:rPr>
        <w:t>nine states had increases</w:t>
      </w:r>
      <w:r>
        <w:rPr>
          <w:rFonts w:ascii="Arial" w:hAnsi="Arial" w:cs="Arial"/>
          <w:sz w:val="20"/>
          <w:szCs w:val="20"/>
        </w:rPr>
        <w:t xml:space="preserve"> </w:t>
      </w:r>
      <w:r w:rsidRPr="00E11369">
        <w:rPr>
          <w:rFonts w:ascii="Arial" w:hAnsi="Arial" w:cs="Arial"/>
          <w:sz w:val="20"/>
          <w:szCs w:val="20"/>
        </w:rPr>
        <w:t>in 2019 compared to 2017</w:t>
      </w:r>
      <w:r>
        <w:rPr>
          <w:rFonts w:ascii="Arial" w:hAnsi="Arial" w:cs="Arial"/>
          <w:sz w:val="20"/>
          <w:szCs w:val="20"/>
        </w:rPr>
        <w:t xml:space="preserve">. </w:t>
      </w:r>
    </w:p>
    <w:p w14:paraId="30E4639A" w14:textId="3A87B959" w:rsidR="00ED6429" w:rsidRPr="00196463" w:rsidRDefault="006543C4" w:rsidP="00196463">
      <w:pPr>
        <w:pStyle w:val="ListParagraph"/>
        <w:numPr>
          <w:ilvl w:val="0"/>
          <w:numId w:val="12"/>
        </w:numPr>
        <w:spacing w:after="200" w:line="276" w:lineRule="auto"/>
        <w:rPr>
          <w:rFonts w:ascii="Arial" w:hAnsi="Arial" w:cs="Arial"/>
          <w:sz w:val="20"/>
          <w:szCs w:val="20"/>
        </w:rPr>
      </w:pPr>
      <w:r w:rsidRPr="00196463">
        <w:rPr>
          <w:rFonts w:ascii="Arial" w:hAnsi="Arial" w:cs="Arial"/>
          <w:sz w:val="20"/>
          <w:szCs w:val="20"/>
        </w:rPr>
        <w:t xml:space="preserve">In eighth-grade mathematics, six states saw declines, while </w:t>
      </w:r>
      <w:r w:rsidR="00ED6429" w:rsidRPr="00196463">
        <w:rPr>
          <w:rFonts w:ascii="Arial" w:hAnsi="Arial" w:cs="Arial"/>
          <w:sz w:val="20"/>
          <w:szCs w:val="20"/>
        </w:rPr>
        <w:t>three states showed improvement</w:t>
      </w:r>
      <w:r w:rsidR="005F035D">
        <w:rPr>
          <w:rFonts w:ascii="Arial" w:hAnsi="Arial" w:cs="Arial"/>
          <w:sz w:val="20"/>
          <w:szCs w:val="20"/>
        </w:rPr>
        <w:t>.</w:t>
      </w:r>
    </w:p>
    <w:p w14:paraId="324E530D" w14:textId="05F397C0" w:rsidR="00ED6429" w:rsidRPr="00196463" w:rsidRDefault="00ED6429" w:rsidP="00ED6429">
      <w:pPr>
        <w:pStyle w:val="ListParagraph"/>
        <w:numPr>
          <w:ilvl w:val="0"/>
          <w:numId w:val="12"/>
        </w:numPr>
        <w:spacing w:after="200" w:line="276" w:lineRule="auto"/>
        <w:rPr>
          <w:rFonts w:ascii="Arial" w:hAnsi="Arial" w:cs="Arial"/>
          <w:sz w:val="20"/>
          <w:szCs w:val="20"/>
        </w:rPr>
      </w:pPr>
      <w:r w:rsidRPr="00196463">
        <w:rPr>
          <w:rFonts w:ascii="Arial" w:hAnsi="Arial" w:cs="Arial"/>
          <w:sz w:val="20"/>
          <w:szCs w:val="20"/>
        </w:rPr>
        <w:t xml:space="preserve">Mississipi and Washington, DC were the only </w:t>
      </w:r>
      <w:r w:rsidR="00AF4F8B">
        <w:rPr>
          <w:rFonts w:ascii="Arial" w:hAnsi="Arial" w:cs="Arial"/>
          <w:sz w:val="20"/>
          <w:szCs w:val="20"/>
        </w:rPr>
        <w:t>jurisdictions</w:t>
      </w:r>
      <w:r w:rsidRPr="00196463">
        <w:rPr>
          <w:rFonts w:ascii="Arial" w:hAnsi="Arial" w:cs="Arial"/>
          <w:sz w:val="20"/>
          <w:szCs w:val="20"/>
        </w:rPr>
        <w:t xml:space="preserve"> that improved in at least </w:t>
      </w:r>
      <w:r w:rsidR="00AF4F8B">
        <w:rPr>
          <w:rFonts w:ascii="Arial" w:hAnsi="Arial" w:cs="Arial"/>
          <w:sz w:val="20"/>
          <w:szCs w:val="20"/>
        </w:rPr>
        <w:t>three</w:t>
      </w:r>
      <w:r w:rsidRPr="00196463">
        <w:rPr>
          <w:rFonts w:ascii="Arial" w:hAnsi="Arial" w:cs="Arial"/>
          <w:sz w:val="20"/>
          <w:szCs w:val="20"/>
        </w:rPr>
        <w:t xml:space="preserve"> of </w:t>
      </w:r>
      <w:r w:rsidR="00AF4F8B">
        <w:rPr>
          <w:rFonts w:ascii="Arial" w:hAnsi="Arial" w:cs="Arial"/>
          <w:sz w:val="20"/>
          <w:szCs w:val="20"/>
        </w:rPr>
        <w:t>four</w:t>
      </w:r>
      <w:r w:rsidRPr="00196463">
        <w:rPr>
          <w:rFonts w:ascii="Arial" w:hAnsi="Arial" w:cs="Arial"/>
          <w:sz w:val="20"/>
          <w:szCs w:val="20"/>
        </w:rPr>
        <w:t xml:space="preserve"> grade/subject combinations</w:t>
      </w:r>
      <w:r w:rsidR="005F035D">
        <w:rPr>
          <w:rFonts w:ascii="Arial" w:hAnsi="Arial" w:cs="Arial"/>
          <w:sz w:val="20"/>
          <w:szCs w:val="20"/>
        </w:rPr>
        <w:t>.</w:t>
      </w:r>
    </w:p>
    <w:p w14:paraId="3AC9A194" w14:textId="04E63460" w:rsidR="00ED6429" w:rsidRPr="00196463" w:rsidRDefault="00382A37" w:rsidP="00ED6429">
      <w:pPr>
        <w:pStyle w:val="ListParagraph"/>
        <w:numPr>
          <w:ilvl w:val="0"/>
          <w:numId w:val="12"/>
        </w:numPr>
        <w:spacing w:after="200" w:line="276" w:lineRule="auto"/>
        <w:rPr>
          <w:rFonts w:ascii="Arial" w:hAnsi="Arial" w:cs="Arial"/>
          <w:sz w:val="20"/>
          <w:szCs w:val="20"/>
        </w:rPr>
      </w:pPr>
      <w:r w:rsidRPr="00196463">
        <w:rPr>
          <w:rFonts w:ascii="Arial" w:hAnsi="Arial" w:cs="Arial"/>
          <w:sz w:val="20"/>
          <w:szCs w:val="20"/>
        </w:rPr>
        <w:t xml:space="preserve">Kansas, </w:t>
      </w:r>
      <w:r w:rsidR="00ED6429" w:rsidRPr="00196463">
        <w:rPr>
          <w:rFonts w:ascii="Arial" w:hAnsi="Arial" w:cs="Arial"/>
          <w:sz w:val="20"/>
          <w:szCs w:val="20"/>
        </w:rPr>
        <w:t>New Hampshire, Vermont</w:t>
      </w:r>
      <w:r w:rsidR="004218B2">
        <w:rPr>
          <w:rFonts w:ascii="Arial" w:hAnsi="Arial" w:cs="Arial"/>
          <w:sz w:val="20"/>
          <w:szCs w:val="20"/>
        </w:rPr>
        <w:t xml:space="preserve">, </w:t>
      </w:r>
      <w:r w:rsidR="00ED6429" w:rsidRPr="00196463">
        <w:rPr>
          <w:rFonts w:ascii="Arial" w:hAnsi="Arial" w:cs="Arial"/>
          <w:sz w:val="20"/>
          <w:szCs w:val="20"/>
        </w:rPr>
        <w:t>West Virginia</w:t>
      </w:r>
      <w:r w:rsidR="004218B2">
        <w:rPr>
          <w:rFonts w:ascii="Arial" w:hAnsi="Arial" w:cs="Arial"/>
          <w:sz w:val="20"/>
          <w:szCs w:val="20"/>
        </w:rPr>
        <w:t>, and Wyoming</w:t>
      </w:r>
      <w:r w:rsidRPr="00196463">
        <w:rPr>
          <w:rFonts w:ascii="Arial" w:hAnsi="Arial" w:cs="Arial"/>
          <w:sz w:val="20"/>
          <w:szCs w:val="20"/>
        </w:rPr>
        <w:t xml:space="preserve"> were the only states to decline in </w:t>
      </w:r>
      <w:r w:rsidR="00AF4F8B">
        <w:rPr>
          <w:rFonts w:ascii="Arial" w:hAnsi="Arial" w:cs="Arial"/>
          <w:sz w:val="20"/>
          <w:szCs w:val="20"/>
        </w:rPr>
        <w:t>three</w:t>
      </w:r>
      <w:r w:rsidRPr="00196463">
        <w:rPr>
          <w:rFonts w:ascii="Arial" w:hAnsi="Arial" w:cs="Arial"/>
          <w:sz w:val="20"/>
          <w:szCs w:val="20"/>
        </w:rPr>
        <w:t xml:space="preserve"> of </w:t>
      </w:r>
      <w:r w:rsidR="00AF4F8B">
        <w:rPr>
          <w:rFonts w:ascii="Arial" w:hAnsi="Arial" w:cs="Arial"/>
          <w:sz w:val="20"/>
          <w:szCs w:val="20"/>
        </w:rPr>
        <w:t>four</w:t>
      </w:r>
      <w:r w:rsidRPr="00196463">
        <w:rPr>
          <w:rFonts w:ascii="Arial" w:hAnsi="Arial" w:cs="Arial"/>
          <w:sz w:val="20"/>
          <w:szCs w:val="20"/>
        </w:rPr>
        <w:t xml:space="preserve"> grade/subject</w:t>
      </w:r>
      <w:r w:rsidR="005F035D">
        <w:rPr>
          <w:rFonts w:ascii="Arial" w:hAnsi="Arial" w:cs="Arial"/>
          <w:sz w:val="20"/>
          <w:szCs w:val="20"/>
        </w:rPr>
        <w:t xml:space="preserve"> combinations.</w:t>
      </w:r>
    </w:p>
    <w:p w14:paraId="21E02F2A" w14:textId="77777777" w:rsidR="008F19A1" w:rsidRPr="00ED6429" w:rsidRDefault="008F19A1" w:rsidP="00461CB3">
      <w:pPr>
        <w:pStyle w:val="ListParagraph"/>
        <w:numPr>
          <w:ilvl w:val="0"/>
          <w:numId w:val="12"/>
        </w:numPr>
        <w:spacing w:after="200" w:line="276" w:lineRule="auto"/>
        <w:rPr>
          <w:rFonts w:ascii="Arial" w:hAnsi="Arial" w:cs="Arial"/>
          <w:sz w:val="20"/>
          <w:szCs w:val="20"/>
        </w:rPr>
      </w:pPr>
      <w:r w:rsidRPr="00ED6429">
        <w:rPr>
          <w:rFonts w:ascii="Arial" w:hAnsi="Arial" w:cs="Arial"/>
          <w:sz w:val="20"/>
          <w:szCs w:val="20"/>
        </w:rPr>
        <w:br w:type="page"/>
      </w:r>
    </w:p>
    <w:tbl>
      <w:tblPr>
        <w:tblStyle w:val="PlainTable11"/>
        <w:tblW w:w="5000" w:type="pct"/>
        <w:tblLayout w:type="fixed"/>
        <w:tblLook w:val="04A0" w:firstRow="1" w:lastRow="0" w:firstColumn="1" w:lastColumn="0" w:noHBand="0" w:noVBand="1"/>
        <w:tblCaption w:val="State/Jurisdiction Results"/>
        <w:tblDescription w:val="• In fourth-grade reading, 17 states had declines between 2017 and 2019, while one state improved.&#10;• In eighth-grade reading, most states (31) also had decreases, while one state improved.&#10;• In fourth-grade mathematics, three states declined, while nine states had increases in 2019 compared to 2017. &#10;• In eighth-grade mathematics, six states saw declines, while three states showed improvement.&#10;• Mississipi and Washington, DC were the only jurisdictions that improved in at least three of four grade/subject combinations.&#10;• Kansas, New Hampshire, Vermont, West Virginia, and Wyoming were the only states to decline in three of four grade/subject combinations.&#10;"/>
      </w:tblPr>
      <w:tblGrid>
        <w:gridCol w:w="1526"/>
        <w:gridCol w:w="1956"/>
        <w:gridCol w:w="1956"/>
        <w:gridCol w:w="1956"/>
        <w:gridCol w:w="1956"/>
      </w:tblGrid>
      <w:tr w:rsidR="00707B74" w:rsidRPr="00C66C84" w14:paraId="5A6F55A3" w14:textId="77777777" w:rsidTr="00707B74">
        <w:trPr>
          <w:cnfStyle w:val="100000000000" w:firstRow="1" w:lastRow="0" w:firstColumn="0" w:lastColumn="0" w:oddVBand="0" w:evenVBand="0" w:oddHBand="0" w:evenHBand="0" w:firstRowFirstColumn="0" w:firstRowLastColumn="0" w:lastRowFirstColumn="0" w:lastRowLastColumn="0"/>
          <w:cantSplit/>
          <w:trHeight w:val="342"/>
          <w:tblHeader/>
        </w:trPr>
        <w:tc>
          <w:tcPr>
            <w:cnfStyle w:val="001000000000" w:firstRow="0" w:lastRow="0" w:firstColumn="1" w:lastColumn="0" w:oddVBand="0" w:evenVBand="0" w:oddHBand="0" w:evenHBand="0" w:firstRowFirstColumn="0" w:firstRowLastColumn="0" w:lastRowFirstColumn="0" w:lastRowLastColumn="0"/>
            <w:tcW w:w="816" w:type="pct"/>
            <w:tcBorders>
              <w:bottom w:val="single" w:sz="4" w:space="0" w:color="002060"/>
            </w:tcBorders>
            <w:shd w:val="clear" w:color="auto" w:fill="001970"/>
            <w:vAlign w:val="center"/>
          </w:tcPr>
          <w:p w14:paraId="307E29DD" w14:textId="77777777" w:rsidR="00707B74" w:rsidRPr="00C66C84" w:rsidRDefault="00707B74" w:rsidP="00C022FF">
            <w:pPr>
              <w:spacing w:line="276" w:lineRule="auto"/>
              <w:jc w:val="center"/>
              <w:rPr>
                <w:rFonts w:ascii="Arial" w:hAnsi="Arial" w:cs="Arial"/>
                <w:b w:val="0"/>
                <w:sz w:val="20"/>
              </w:rPr>
            </w:pPr>
            <w:bookmarkStart w:id="2" w:name="_GoBack"/>
          </w:p>
        </w:tc>
        <w:tc>
          <w:tcPr>
            <w:tcW w:w="1046" w:type="pct"/>
            <w:shd w:val="clear" w:color="auto" w:fill="001970"/>
            <w:vAlign w:val="center"/>
          </w:tcPr>
          <w:p w14:paraId="2A425E4E" w14:textId="77777777" w:rsidR="00707B74" w:rsidRPr="00A41CCC" w:rsidRDefault="00707B74" w:rsidP="00707B7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A41CCC">
              <w:rPr>
                <w:rFonts w:ascii="Arial" w:hAnsi="Arial" w:cs="Arial"/>
                <w:sz w:val="20"/>
              </w:rPr>
              <w:t>MATHEMATICS</w:t>
            </w:r>
          </w:p>
        </w:tc>
        <w:tc>
          <w:tcPr>
            <w:tcW w:w="1046" w:type="pct"/>
            <w:shd w:val="clear" w:color="auto" w:fill="001970"/>
            <w:vAlign w:val="center"/>
          </w:tcPr>
          <w:p w14:paraId="7318C153" w14:textId="4C1ADCC2" w:rsidR="00707B74" w:rsidRPr="00A41CCC" w:rsidRDefault="00707B74" w:rsidP="00707B7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1CCC">
              <w:rPr>
                <w:rFonts w:ascii="Arial" w:hAnsi="Arial" w:cs="Arial"/>
                <w:sz w:val="20"/>
              </w:rPr>
              <w:t>MATHEMATICS</w:t>
            </w:r>
          </w:p>
        </w:tc>
        <w:tc>
          <w:tcPr>
            <w:tcW w:w="1046" w:type="pct"/>
            <w:shd w:val="clear" w:color="auto" w:fill="001970"/>
            <w:vAlign w:val="center"/>
          </w:tcPr>
          <w:p w14:paraId="3348A5B0" w14:textId="77777777" w:rsidR="00707B74" w:rsidRPr="00A41CCC" w:rsidRDefault="00707B74" w:rsidP="00707B7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A41CCC">
              <w:rPr>
                <w:rFonts w:ascii="Arial" w:hAnsi="Arial" w:cs="Arial"/>
                <w:sz w:val="20"/>
              </w:rPr>
              <w:t>READING</w:t>
            </w:r>
          </w:p>
        </w:tc>
        <w:tc>
          <w:tcPr>
            <w:tcW w:w="1046" w:type="pct"/>
            <w:shd w:val="clear" w:color="auto" w:fill="001970"/>
            <w:vAlign w:val="center"/>
          </w:tcPr>
          <w:p w14:paraId="17BD7648" w14:textId="642D12CD" w:rsidR="00707B74" w:rsidRPr="00A41CCC" w:rsidRDefault="00707B74" w:rsidP="00707B7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1CCC">
              <w:rPr>
                <w:rFonts w:ascii="Arial" w:hAnsi="Arial" w:cs="Arial"/>
                <w:sz w:val="20"/>
              </w:rPr>
              <w:t>READING</w:t>
            </w:r>
          </w:p>
        </w:tc>
      </w:tr>
      <w:tr w:rsidR="009E026F" w:rsidRPr="00C66C84" w14:paraId="3B20DEEA" w14:textId="77777777" w:rsidTr="00707B74">
        <w:trPr>
          <w:cnfStyle w:val="000000100000" w:firstRow="0" w:lastRow="0" w:firstColumn="0" w:lastColumn="0" w:oddVBand="0" w:evenVBand="0" w:oddHBand="1" w:evenHBand="0" w:firstRowFirstColumn="0" w:firstRowLastColumn="0" w:lastRowFirstColumn="0" w:lastRowLastColumn="0"/>
          <w:cantSplit/>
          <w:trHeight w:val="287"/>
        </w:trPr>
        <w:tc>
          <w:tcPr>
            <w:cnfStyle w:val="001000000000" w:firstRow="0" w:lastRow="0" w:firstColumn="1" w:lastColumn="0" w:oddVBand="0" w:evenVBand="0" w:oddHBand="0" w:evenHBand="0" w:firstRowFirstColumn="0" w:firstRowLastColumn="0" w:lastRowFirstColumn="0" w:lastRowLastColumn="0"/>
            <w:tcW w:w="816" w:type="pct"/>
            <w:tcBorders>
              <w:top w:val="single" w:sz="4" w:space="0" w:color="002060"/>
            </w:tcBorders>
            <w:shd w:val="clear" w:color="auto" w:fill="001970"/>
          </w:tcPr>
          <w:p w14:paraId="7C3531DE" w14:textId="77777777" w:rsidR="00DB539E" w:rsidRPr="00C66C84" w:rsidRDefault="00DB539E" w:rsidP="00C022FF">
            <w:pPr>
              <w:spacing w:line="276" w:lineRule="auto"/>
              <w:rPr>
                <w:rFonts w:ascii="Arial" w:hAnsi="Arial" w:cs="Arial"/>
                <w:b w:val="0"/>
                <w:sz w:val="20"/>
              </w:rPr>
            </w:pPr>
          </w:p>
        </w:tc>
        <w:tc>
          <w:tcPr>
            <w:tcW w:w="1046" w:type="pct"/>
            <w:shd w:val="clear" w:color="auto" w:fill="A6A6A6" w:themeFill="background1" w:themeFillShade="A6"/>
            <w:vAlign w:val="center"/>
          </w:tcPr>
          <w:p w14:paraId="1FC701D2" w14:textId="77777777" w:rsidR="00DB539E" w:rsidRPr="00D17F12" w:rsidRDefault="008F19A1" w:rsidP="00707B7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1970"/>
                <w:sz w:val="20"/>
              </w:rPr>
            </w:pPr>
            <w:r>
              <w:rPr>
                <w:rFonts w:ascii="Arial" w:hAnsi="Arial" w:cs="Arial"/>
                <w:b/>
                <w:color w:val="001970"/>
                <w:sz w:val="20"/>
              </w:rPr>
              <w:t>GRADE 4</w:t>
            </w:r>
          </w:p>
        </w:tc>
        <w:tc>
          <w:tcPr>
            <w:tcW w:w="1046" w:type="pct"/>
            <w:shd w:val="clear" w:color="auto" w:fill="A6A6A6" w:themeFill="background1" w:themeFillShade="A6"/>
            <w:vAlign w:val="center"/>
          </w:tcPr>
          <w:p w14:paraId="309D859E" w14:textId="77777777" w:rsidR="00DB539E" w:rsidRPr="00D17F12" w:rsidRDefault="008F19A1" w:rsidP="00707B7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1970"/>
                <w:sz w:val="20"/>
              </w:rPr>
            </w:pPr>
            <w:r>
              <w:rPr>
                <w:rFonts w:ascii="Arial" w:hAnsi="Arial" w:cs="Arial"/>
                <w:b/>
                <w:color w:val="001970"/>
                <w:sz w:val="20"/>
              </w:rPr>
              <w:t>GRADE 8</w:t>
            </w:r>
          </w:p>
        </w:tc>
        <w:tc>
          <w:tcPr>
            <w:tcW w:w="1046" w:type="pct"/>
            <w:shd w:val="clear" w:color="auto" w:fill="A6A6A6" w:themeFill="background1" w:themeFillShade="A6"/>
            <w:vAlign w:val="center"/>
          </w:tcPr>
          <w:p w14:paraId="261BDE4F" w14:textId="77777777" w:rsidR="00DB539E" w:rsidRPr="00D17F12" w:rsidRDefault="008F19A1" w:rsidP="00707B7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1970"/>
                <w:sz w:val="20"/>
              </w:rPr>
            </w:pPr>
            <w:r>
              <w:rPr>
                <w:rFonts w:ascii="Arial" w:hAnsi="Arial" w:cs="Arial"/>
                <w:b/>
                <w:color w:val="001970"/>
                <w:sz w:val="20"/>
              </w:rPr>
              <w:t>GRADE 4</w:t>
            </w:r>
          </w:p>
        </w:tc>
        <w:tc>
          <w:tcPr>
            <w:tcW w:w="1046" w:type="pct"/>
            <w:shd w:val="clear" w:color="auto" w:fill="A6A6A6" w:themeFill="background1" w:themeFillShade="A6"/>
            <w:vAlign w:val="center"/>
          </w:tcPr>
          <w:p w14:paraId="162C435C" w14:textId="77777777" w:rsidR="00DB539E" w:rsidRPr="00D17F12" w:rsidRDefault="008F19A1" w:rsidP="00707B7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1970"/>
                <w:sz w:val="20"/>
              </w:rPr>
            </w:pPr>
            <w:r>
              <w:rPr>
                <w:rFonts w:ascii="Arial" w:hAnsi="Arial" w:cs="Arial"/>
                <w:b/>
                <w:color w:val="001970"/>
                <w:sz w:val="20"/>
              </w:rPr>
              <w:t>GRADE 8</w:t>
            </w:r>
          </w:p>
        </w:tc>
      </w:tr>
      <w:tr w:rsidR="009A7380" w:rsidRPr="00C66C84" w14:paraId="310517B1" w14:textId="77777777" w:rsidTr="00707B74">
        <w:trPr>
          <w:cantSplit/>
          <w:trHeight w:val="1257"/>
        </w:trPr>
        <w:tc>
          <w:tcPr>
            <w:cnfStyle w:val="001000000000" w:firstRow="0" w:lastRow="0" w:firstColumn="1" w:lastColumn="0" w:oddVBand="0" w:evenVBand="0" w:oddHBand="0" w:evenHBand="0" w:firstRowFirstColumn="0" w:firstRowLastColumn="0" w:lastRowFirstColumn="0" w:lastRowLastColumn="0"/>
            <w:tcW w:w="816" w:type="pct"/>
            <w:shd w:val="clear" w:color="auto" w:fill="001970"/>
          </w:tcPr>
          <w:p w14:paraId="77147D36" w14:textId="77777777" w:rsidR="00DB539E" w:rsidRPr="00A41CCC" w:rsidRDefault="008F19A1" w:rsidP="00C022FF">
            <w:pPr>
              <w:spacing w:line="276" w:lineRule="auto"/>
              <w:rPr>
                <w:rFonts w:ascii="Arial" w:hAnsi="Arial" w:cs="Arial"/>
                <w:sz w:val="20"/>
              </w:rPr>
            </w:pPr>
            <w:r w:rsidRPr="008F19A1">
              <w:rPr>
                <w:rFonts w:ascii="Arial" w:hAnsi="Arial" w:cs="Arial"/>
                <w:color w:val="FFFFFF" w:themeColor="background1"/>
                <w:sz w:val="20"/>
              </w:rPr>
              <w:t>▲</w:t>
            </w:r>
            <w:r>
              <w:rPr>
                <w:rFonts w:ascii="Arial" w:hAnsi="Arial" w:cs="Arial"/>
                <w:sz w:val="20"/>
              </w:rPr>
              <w:t>INCREASE</w:t>
            </w:r>
          </w:p>
        </w:tc>
        <w:tc>
          <w:tcPr>
            <w:tcW w:w="1046" w:type="pct"/>
          </w:tcPr>
          <w:p w14:paraId="68148863" w14:textId="23911C82" w:rsidR="00DB539E" w:rsidRPr="003C2A88" w:rsidRDefault="00DB539E" w:rsidP="00C022F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C2A88">
              <w:rPr>
                <w:rFonts w:ascii="Arial" w:hAnsi="Arial" w:cs="Arial"/>
                <w:b/>
                <w:sz w:val="24"/>
              </w:rPr>
              <w:t>▲</w:t>
            </w:r>
            <w:r w:rsidR="00DA7B89">
              <w:rPr>
                <w:rFonts w:ascii="Arial" w:hAnsi="Arial" w:cs="Arial"/>
                <w:b/>
                <w:sz w:val="24"/>
              </w:rPr>
              <w:t>9</w:t>
            </w:r>
          </w:p>
          <w:p w14:paraId="76C11CE5" w14:textId="7801F057" w:rsidR="00DB539E" w:rsidRPr="00C66C84" w:rsidRDefault="009A7380" w:rsidP="00C022F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Arizona, Connecticut, Delaware, District of Columbia, Mississippi, Nevada, Oregon, Tennessee, DoDEA</w:t>
            </w:r>
          </w:p>
        </w:tc>
        <w:tc>
          <w:tcPr>
            <w:tcW w:w="1046" w:type="pct"/>
          </w:tcPr>
          <w:p w14:paraId="697E82B6" w14:textId="40132B24" w:rsidR="008F19A1" w:rsidRPr="00AC345C" w:rsidRDefault="008F19A1" w:rsidP="00C022F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C2A88">
              <w:rPr>
                <w:rFonts w:ascii="Arial" w:hAnsi="Arial" w:cs="Arial"/>
                <w:b/>
                <w:sz w:val="24"/>
              </w:rPr>
              <w:t>▲</w:t>
            </w:r>
            <w:r w:rsidR="009A7380">
              <w:rPr>
                <w:rFonts w:ascii="Arial" w:hAnsi="Arial" w:cs="Arial"/>
                <w:b/>
                <w:sz w:val="24"/>
              </w:rPr>
              <w:t>3</w:t>
            </w:r>
          </w:p>
          <w:p w14:paraId="331AB7A9" w14:textId="7F0624D0" w:rsidR="00DB539E" w:rsidRDefault="009A7380" w:rsidP="00C022F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District of Columbia,</w:t>
            </w:r>
          </w:p>
          <w:p w14:paraId="29A0B028" w14:textId="1EF7C2DF" w:rsidR="009A7380" w:rsidRPr="00C66C84" w:rsidRDefault="009A7380" w:rsidP="00C022F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Louisiana, Mississippi</w:t>
            </w:r>
          </w:p>
        </w:tc>
        <w:tc>
          <w:tcPr>
            <w:tcW w:w="1046" w:type="pct"/>
          </w:tcPr>
          <w:p w14:paraId="03298B8D" w14:textId="77777777" w:rsidR="00DB539E" w:rsidRDefault="00DB539E" w:rsidP="00C022F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3C2A88">
              <w:rPr>
                <w:rFonts w:ascii="Arial" w:hAnsi="Arial" w:cs="Arial"/>
                <w:b/>
                <w:sz w:val="24"/>
              </w:rPr>
              <w:t>▲</w:t>
            </w:r>
            <w:r w:rsidR="008E6921">
              <w:rPr>
                <w:rFonts w:ascii="Arial" w:hAnsi="Arial" w:cs="Arial"/>
                <w:b/>
                <w:sz w:val="24"/>
              </w:rPr>
              <w:t>1</w:t>
            </w:r>
          </w:p>
          <w:p w14:paraId="1492A8C1" w14:textId="76301C6B" w:rsidR="008E6921" w:rsidRPr="00AC345C" w:rsidRDefault="008E6921" w:rsidP="00C022F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8E6921">
              <w:rPr>
                <w:rFonts w:ascii="Arial" w:hAnsi="Arial" w:cs="Arial"/>
                <w:sz w:val="20"/>
                <w:szCs w:val="18"/>
              </w:rPr>
              <w:t>Mississippi</w:t>
            </w:r>
          </w:p>
        </w:tc>
        <w:tc>
          <w:tcPr>
            <w:tcW w:w="1046" w:type="pct"/>
          </w:tcPr>
          <w:p w14:paraId="5960ACC2" w14:textId="684F1335" w:rsidR="008F19A1" w:rsidRPr="00AC345C" w:rsidRDefault="008F19A1" w:rsidP="00C022F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C2A88">
              <w:rPr>
                <w:rFonts w:ascii="Arial" w:hAnsi="Arial" w:cs="Arial"/>
                <w:b/>
                <w:sz w:val="24"/>
              </w:rPr>
              <w:t>▲</w:t>
            </w:r>
            <w:r w:rsidR="00A10219">
              <w:rPr>
                <w:rFonts w:ascii="Arial" w:hAnsi="Arial" w:cs="Arial"/>
                <w:b/>
                <w:sz w:val="24"/>
              </w:rPr>
              <w:t>1</w:t>
            </w:r>
          </w:p>
          <w:p w14:paraId="141627E4" w14:textId="5BA35EDE" w:rsidR="00DB539E" w:rsidRPr="00C66C84" w:rsidRDefault="00A10219" w:rsidP="00C022F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District of Columbia</w:t>
            </w:r>
          </w:p>
        </w:tc>
      </w:tr>
      <w:tr w:rsidR="009E026F" w:rsidRPr="00C66C84" w14:paraId="6E5BE728" w14:textId="77777777" w:rsidTr="00707B74">
        <w:trPr>
          <w:cnfStyle w:val="000000100000" w:firstRow="0" w:lastRow="0" w:firstColumn="0" w:lastColumn="0" w:oddVBand="0" w:evenVBand="0" w:oddHBand="1" w:evenHBand="0" w:firstRowFirstColumn="0" w:firstRowLastColumn="0" w:lastRowFirstColumn="0" w:lastRowLastColumn="0"/>
          <w:cantSplit/>
          <w:trHeight w:val="1040"/>
        </w:trPr>
        <w:tc>
          <w:tcPr>
            <w:cnfStyle w:val="001000000000" w:firstRow="0" w:lastRow="0" w:firstColumn="1" w:lastColumn="0" w:oddVBand="0" w:evenVBand="0" w:oddHBand="0" w:evenHBand="0" w:firstRowFirstColumn="0" w:firstRowLastColumn="0" w:lastRowFirstColumn="0" w:lastRowLastColumn="0"/>
            <w:tcW w:w="816" w:type="pct"/>
            <w:shd w:val="clear" w:color="auto" w:fill="001970"/>
          </w:tcPr>
          <w:p w14:paraId="2B6AAE2E" w14:textId="77777777" w:rsidR="00DB539E" w:rsidRPr="00A41CCC" w:rsidRDefault="008F19A1" w:rsidP="00C022FF">
            <w:pPr>
              <w:spacing w:line="276" w:lineRule="auto"/>
              <w:rPr>
                <w:rFonts w:ascii="Arial" w:hAnsi="Arial" w:cs="Arial"/>
                <w:sz w:val="20"/>
              </w:rPr>
            </w:pPr>
            <w:r w:rsidRPr="008F19A1">
              <w:rPr>
                <w:rFonts w:ascii="Arial" w:hAnsi="Arial" w:cs="Arial"/>
                <w:color w:val="FFFFFF" w:themeColor="background1"/>
                <w:sz w:val="20"/>
              </w:rPr>
              <w:t>▼D</w:t>
            </w:r>
            <w:r>
              <w:rPr>
                <w:rFonts w:ascii="Arial" w:hAnsi="Arial" w:cs="Arial"/>
                <w:sz w:val="20"/>
              </w:rPr>
              <w:t>ECREASE</w:t>
            </w:r>
          </w:p>
        </w:tc>
        <w:tc>
          <w:tcPr>
            <w:tcW w:w="1046" w:type="pct"/>
          </w:tcPr>
          <w:p w14:paraId="36A8DC20" w14:textId="78621708" w:rsidR="008F19A1" w:rsidRPr="00AC345C" w:rsidRDefault="008F19A1" w:rsidP="00C022F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AC345C">
              <w:rPr>
                <w:rFonts w:ascii="Arial" w:hAnsi="Arial" w:cs="Arial"/>
                <w:b/>
                <w:sz w:val="24"/>
              </w:rPr>
              <w:t>▼</w:t>
            </w:r>
            <w:r w:rsidR="00DA7B89">
              <w:rPr>
                <w:rFonts w:ascii="Arial" w:hAnsi="Arial" w:cs="Arial"/>
                <w:b/>
                <w:sz w:val="24"/>
              </w:rPr>
              <w:t>3</w:t>
            </w:r>
          </w:p>
          <w:p w14:paraId="0711810F" w14:textId="3CB8A80A" w:rsidR="00DB539E" w:rsidRPr="00C66C84" w:rsidRDefault="009A7380" w:rsidP="00C022F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Vermont, West Virginia, Wyoming</w:t>
            </w:r>
          </w:p>
        </w:tc>
        <w:tc>
          <w:tcPr>
            <w:tcW w:w="1046" w:type="pct"/>
          </w:tcPr>
          <w:p w14:paraId="4590D03A" w14:textId="1D5C7521" w:rsidR="00DB539E" w:rsidRPr="00AC345C" w:rsidRDefault="00DB539E" w:rsidP="00C022F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AC345C">
              <w:rPr>
                <w:rFonts w:ascii="Arial" w:hAnsi="Arial" w:cs="Arial"/>
                <w:b/>
                <w:sz w:val="24"/>
              </w:rPr>
              <w:t>▼</w:t>
            </w:r>
            <w:r w:rsidR="009A7380">
              <w:rPr>
                <w:rFonts w:ascii="Arial" w:hAnsi="Arial" w:cs="Arial"/>
                <w:b/>
                <w:sz w:val="24"/>
              </w:rPr>
              <w:t>6</w:t>
            </w:r>
          </w:p>
          <w:p w14:paraId="5F910840" w14:textId="4974E96B" w:rsidR="009A7380" w:rsidRPr="00C66C84" w:rsidRDefault="009A7380" w:rsidP="00C022F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Iowa, Kansas, Nebraska, New Hampshire, North Dakota, Wyoming</w:t>
            </w:r>
          </w:p>
        </w:tc>
        <w:tc>
          <w:tcPr>
            <w:tcW w:w="1046" w:type="pct"/>
          </w:tcPr>
          <w:p w14:paraId="59F66E84" w14:textId="3D2AFEA2" w:rsidR="008F19A1" w:rsidRPr="00AC345C" w:rsidRDefault="008F19A1" w:rsidP="00C022F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AC345C">
              <w:rPr>
                <w:rFonts w:ascii="Arial" w:hAnsi="Arial" w:cs="Arial"/>
                <w:b/>
                <w:sz w:val="24"/>
              </w:rPr>
              <w:t>▼</w:t>
            </w:r>
            <w:r w:rsidR="008E6921">
              <w:rPr>
                <w:rFonts w:ascii="Arial" w:hAnsi="Arial" w:cs="Arial"/>
                <w:b/>
                <w:sz w:val="24"/>
              </w:rPr>
              <w:t>17</w:t>
            </w:r>
          </w:p>
          <w:p w14:paraId="5DFAB40A" w14:textId="093251EA" w:rsidR="00DB539E" w:rsidRPr="00C66C84" w:rsidRDefault="00A10219" w:rsidP="00C022F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Alabama, Connecticut, Delaware, Florida, Indiana, Kansas, Kentucky, Maryland, Massachusetts, </w:t>
            </w:r>
            <w:r w:rsidR="008E6921">
              <w:rPr>
                <w:rFonts w:ascii="Arial" w:hAnsi="Arial" w:cs="Arial"/>
                <w:sz w:val="20"/>
              </w:rPr>
              <w:t>Missouri, New Hampshire, New Jersey, Ohio, Rhode Island, Vermont, Virginia, West Virginia</w:t>
            </w:r>
          </w:p>
        </w:tc>
        <w:tc>
          <w:tcPr>
            <w:tcW w:w="1046" w:type="pct"/>
          </w:tcPr>
          <w:p w14:paraId="75D9C7A9" w14:textId="3526F210" w:rsidR="00DB539E" w:rsidRPr="00AC345C" w:rsidRDefault="00DB539E" w:rsidP="00C022F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AC345C">
              <w:rPr>
                <w:rFonts w:ascii="Arial" w:hAnsi="Arial" w:cs="Arial"/>
                <w:b/>
                <w:sz w:val="24"/>
              </w:rPr>
              <w:t>▼</w:t>
            </w:r>
            <w:r w:rsidR="003074C7">
              <w:rPr>
                <w:rFonts w:ascii="Arial" w:hAnsi="Arial" w:cs="Arial"/>
                <w:b/>
                <w:sz w:val="24"/>
              </w:rPr>
              <w:t>3</w:t>
            </w:r>
            <w:r w:rsidR="008E6921">
              <w:rPr>
                <w:rFonts w:ascii="Arial" w:hAnsi="Arial" w:cs="Arial"/>
                <w:b/>
                <w:sz w:val="24"/>
              </w:rPr>
              <w:t>1</w:t>
            </w:r>
          </w:p>
          <w:p w14:paraId="3ECD8B0A" w14:textId="05976212" w:rsidR="003074C7" w:rsidRPr="00C66C84" w:rsidRDefault="003074C7" w:rsidP="00C022F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Alabama, Alaska, Arizona, California, Delaware, Florida, Georgia, Hawaii, Idaho, Indiana, Iowa, Kansas, Maine, Maryland, Massachusetts, Minnesota, Montana, Nebraska, New Hampshire, New Jersey, New Mexico, Oklahoma, Pennsylvania, Rhode Island, South Dakota, Texas, Vermont, Virginia, Washington, West Virginia, Wyoming</w:t>
            </w:r>
          </w:p>
        </w:tc>
      </w:tr>
      <w:bookmarkEnd w:id="2"/>
    </w:tbl>
    <w:p w14:paraId="56BFD248" w14:textId="77777777" w:rsidR="00DB539E" w:rsidRDefault="00DB539E" w:rsidP="00C022FF">
      <w:pPr>
        <w:spacing w:after="200" w:line="276" w:lineRule="auto"/>
        <w:rPr>
          <w:rFonts w:ascii="Arial" w:hAnsi="Arial" w:cs="Arial"/>
          <w:b/>
          <w:sz w:val="20"/>
          <w:szCs w:val="20"/>
        </w:rPr>
      </w:pPr>
    </w:p>
    <w:p w14:paraId="17F2EB9A" w14:textId="61987104" w:rsidR="00264711" w:rsidRPr="00E849A9" w:rsidRDefault="00264711" w:rsidP="00FB212A">
      <w:pPr>
        <w:spacing w:after="120" w:line="276" w:lineRule="auto"/>
        <w:rPr>
          <w:rFonts w:ascii="Arial" w:hAnsi="Arial" w:cs="Arial"/>
          <w:b/>
          <w:sz w:val="20"/>
          <w:szCs w:val="20"/>
        </w:rPr>
      </w:pPr>
      <w:r w:rsidRPr="00E849A9">
        <w:rPr>
          <w:rFonts w:ascii="Arial" w:hAnsi="Arial" w:cs="Arial"/>
          <w:b/>
          <w:sz w:val="20"/>
          <w:szCs w:val="20"/>
        </w:rPr>
        <w:t xml:space="preserve">District </w:t>
      </w:r>
      <w:r w:rsidR="000108CB">
        <w:rPr>
          <w:rFonts w:ascii="Arial" w:hAnsi="Arial" w:cs="Arial"/>
          <w:b/>
          <w:sz w:val="20"/>
          <w:szCs w:val="20"/>
        </w:rPr>
        <w:t>Results</w:t>
      </w:r>
    </w:p>
    <w:p w14:paraId="5D452572" w14:textId="4387FD70" w:rsidR="00D34D4D" w:rsidRDefault="004F2A59" w:rsidP="00C022FF">
      <w:pPr>
        <w:spacing w:after="200" w:line="276" w:lineRule="auto"/>
        <w:rPr>
          <w:rFonts w:ascii="Arial" w:hAnsi="Arial" w:cs="Arial"/>
          <w:sz w:val="20"/>
          <w:szCs w:val="20"/>
        </w:rPr>
      </w:pPr>
      <w:r>
        <w:rPr>
          <w:rFonts w:ascii="Arial" w:hAnsi="Arial" w:cs="Arial"/>
          <w:sz w:val="20"/>
          <w:szCs w:val="20"/>
        </w:rPr>
        <w:t>NCES</w:t>
      </w:r>
      <w:r w:rsidR="00CD1094" w:rsidRPr="00E849A9">
        <w:rPr>
          <w:rFonts w:ascii="Arial" w:hAnsi="Arial" w:cs="Arial"/>
          <w:sz w:val="20"/>
          <w:szCs w:val="20"/>
        </w:rPr>
        <w:t xml:space="preserve"> also </w:t>
      </w:r>
      <w:r>
        <w:rPr>
          <w:rFonts w:ascii="Arial" w:hAnsi="Arial" w:cs="Arial"/>
          <w:sz w:val="20"/>
          <w:szCs w:val="20"/>
        </w:rPr>
        <w:t>reports student achievement</w:t>
      </w:r>
      <w:r w:rsidR="00CD1094" w:rsidRPr="00E849A9">
        <w:rPr>
          <w:rFonts w:ascii="Arial" w:hAnsi="Arial" w:cs="Arial"/>
          <w:sz w:val="20"/>
          <w:szCs w:val="20"/>
        </w:rPr>
        <w:t xml:space="preserve"> </w:t>
      </w:r>
      <w:r w:rsidR="00981920">
        <w:rPr>
          <w:rFonts w:ascii="Arial" w:hAnsi="Arial" w:cs="Arial"/>
          <w:sz w:val="20"/>
          <w:szCs w:val="20"/>
        </w:rPr>
        <w:t>for selected</w:t>
      </w:r>
      <w:r w:rsidR="00CD1094" w:rsidRPr="00E849A9">
        <w:rPr>
          <w:rFonts w:ascii="Arial" w:hAnsi="Arial" w:cs="Arial"/>
          <w:sz w:val="20"/>
          <w:szCs w:val="20"/>
        </w:rPr>
        <w:t xml:space="preserve"> </w:t>
      </w:r>
      <w:r w:rsidR="00CD0087">
        <w:rPr>
          <w:rFonts w:ascii="Arial" w:hAnsi="Arial" w:cs="Arial"/>
          <w:sz w:val="20"/>
          <w:szCs w:val="20"/>
        </w:rPr>
        <w:t xml:space="preserve">large </w:t>
      </w:r>
      <w:r w:rsidR="00CD1094" w:rsidRPr="00E849A9">
        <w:rPr>
          <w:rFonts w:ascii="Arial" w:hAnsi="Arial" w:cs="Arial"/>
          <w:sz w:val="20"/>
          <w:szCs w:val="20"/>
        </w:rPr>
        <w:t>urban school districts through the</w:t>
      </w:r>
      <w:r>
        <w:rPr>
          <w:rFonts w:ascii="Arial" w:hAnsi="Arial" w:cs="Arial"/>
          <w:sz w:val="20"/>
          <w:szCs w:val="20"/>
        </w:rPr>
        <w:t xml:space="preserve"> NAEP</w:t>
      </w:r>
      <w:r w:rsidR="00CD1094" w:rsidRPr="00E849A9">
        <w:rPr>
          <w:rFonts w:ascii="Arial" w:hAnsi="Arial" w:cs="Arial"/>
          <w:sz w:val="20"/>
          <w:szCs w:val="20"/>
        </w:rPr>
        <w:t xml:space="preserve"> Trial Urban District Assessment (TUDA)</w:t>
      </w:r>
      <w:r w:rsidR="00256CDD" w:rsidRPr="00E849A9">
        <w:rPr>
          <w:rFonts w:ascii="Arial" w:hAnsi="Arial" w:cs="Arial"/>
          <w:sz w:val="20"/>
          <w:szCs w:val="20"/>
        </w:rPr>
        <w:t xml:space="preserve"> program</w:t>
      </w:r>
      <w:r w:rsidR="00CD1094" w:rsidRPr="00E849A9">
        <w:rPr>
          <w:rFonts w:ascii="Arial" w:hAnsi="Arial" w:cs="Arial"/>
          <w:sz w:val="20"/>
          <w:szCs w:val="20"/>
        </w:rPr>
        <w:t>. Fourth</w:t>
      </w:r>
      <w:r w:rsidR="00757F6C">
        <w:rPr>
          <w:rFonts w:ascii="Arial" w:hAnsi="Arial" w:cs="Arial"/>
          <w:sz w:val="20"/>
          <w:szCs w:val="20"/>
        </w:rPr>
        <w:t>-</w:t>
      </w:r>
      <w:r w:rsidR="00CD1094" w:rsidRPr="00E849A9">
        <w:rPr>
          <w:rFonts w:ascii="Arial" w:hAnsi="Arial" w:cs="Arial"/>
          <w:sz w:val="20"/>
          <w:szCs w:val="20"/>
        </w:rPr>
        <w:t xml:space="preserve"> and eighth</w:t>
      </w:r>
      <w:r w:rsidR="00757F6C">
        <w:rPr>
          <w:rFonts w:ascii="Arial" w:hAnsi="Arial" w:cs="Arial"/>
          <w:sz w:val="20"/>
          <w:szCs w:val="20"/>
        </w:rPr>
        <w:t>-</w:t>
      </w:r>
      <w:r w:rsidR="00CD1094" w:rsidRPr="00E849A9">
        <w:rPr>
          <w:rFonts w:ascii="Arial" w:hAnsi="Arial" w:cs="Arial"/>
          <w:sz w:val="20"/>
          <w:szCs w:val="20"/>
        </w:rPr>
        <w:t xml:space="preserve">graders in </w:t>
      </w:r>
      <w:r w:rsidR="00CD1094" w:rsidRPr="003074C7">
        <w:rPr>
          <w:rFonts w:ascii="Arial" w:hAnsi="Arial" w:cs="Arial"/>
          <w:sz w:val="20"/>
          <w:szCs w:val="20"/>
        </w:rPr>
        <w:t>2</w:t>
      </w:r>
      <w:r w:rsidR="00CA7329" w:rsidRPr="003074C7">
        <w:rPr>
          <w:rFonts w:ascii="Arial" w:hAnsi="Arial" w:cs="Arial"/>
          <w:sz w:val="20"/>
          <w:szCs w:val="20"/>
        </w:rPr>
        <w:t>7</w:t>
      </w:r>
      <w:r w:rsidR="00CD1094" w:rsidRPr="003074C7">
        <w:rPr>
          <w:rFonts w:ascii="Arial" w:hAnsi="Arial" w:cs="Arial"/>
          <w:sz w:val="20"/>
          <w:szCs w:val="20"/>
        </w:rPr>
        <w:t xml:space="preserve"> urban</w:t>
      </w:r>
      <w:r w:rsidR="00CD1094" w:rsidRPr="00E849A9">
        <w:rPr>
          <w:rFonts w:ascii="Arial" w:hAnsi="Arial" w:cs="Arial"/>
          <w:sz w:val="20"/>
          <w:szCs w:val="20"/>
        </w:rPr>
        <w:t xml:space="preserve"> districts participated in the mathematics and reading assessment</w:t>
      </w:r>
      <w:r w:rsidR="004D2CA3">
        <w:rPr>
          <w:rFonts w:ascii="Arial" w:hAnsi="Arial" w:cs="Arial"/>
          <w:sz w:val="20"/>
          <w:szCs w:val="20"/>
        </w:rPr>
        <w:t>s</w:t>
      </w:r>
      <w:r w:rsidR="00CA7329">
        <w:rPr>
          <w:rFonts w:ascii="Arial" w:hAnsi="Arial" w:cs="Arial"/>
          <w:sz w:val="20"/>
          <w:szCs w:val="20"/>
        </w:rPr>
        <w:t xml:space="preserve"> in 201</w:t>
      </w:r>
      <w:r w:rsidR="00610704">
        <w:rPr>
          <w:rFonts w:ascii="Arial" w:hAnsi="Arial" w:cs="Arial"/>
          <w:sz w:val="20"/>
          <w:szCs w:val="20"/>
        </w:rPr>
        <w:t>9</w:t>
      </w:r>
      <w:r w:rsidR="0070539D">
        <w:rPr>
          <w:rFonts w:ascii="Arial" w:hAnsi="Arial" w:cs="Arial"/>
          <w:sz w:val="20"/>
          <w:szCs w:val="20"/>
        </w:rPr>
        <w:t>.</w:t>
      </w:r>
    </w:p>
    <w:p w14:paraId="40BA7096" w14:textId="6EE00BC6" w:rsidR="00CD1094" w:rsidRPr="0011425E" w:rsidRDefault="00124581" w:rsidP="00C022FF">
      <w:pPr>
        <w:spacing w:after="200" w:line="276" w:lineRule="auto"/>
        <w:rPr>
          <w:rFonts w:ascii="Arial" w:hAnsi="Arial" w:cs="Arial"/>
          <w:sz w:val="20"/>
          <w:szCs w:val="20"/>
        </w:rPr>
      </w:pPr>
      <w:r w:rsidRPr="00124581">
        <w:rPr>
          <w:rFonts w:ascii="Arial" w:hAnsi="Arial" w:cs="Arial"/>
          <w:sz w:val="20"/>
          <w:szCs w:val="20"/>
        </w:rPr>
        <w:t>A useful benchmark for comparing the progress of the urban districts participating in NAEP is the average sco</w:t>
      </w:r>
      <w:r w:rsidR="00CB03CD">
        <w:rPr>
          <w:rFonts w:ascii="Arial" w:hAnsi="Arial" w:cs="Arial"/>
          <w:sz w:val="20"/>
          <w:szCs w:val="20"/>
        </w:rPr>
        <w:t>re for the "</w:t>
      </w:r>
      <w:r w:rsidR="00B41B08">
        <w:rPr>
          <w:rFonts w:ascii="Arial" w:hAnsi="Arial" w:cs="Arial"/>
          <w:sz w:val="20"/>
          <w:szCs w:val="20"/>
        </w:rPr>
        <w:t>L</w:t>
      </w:r>
      <w:r w:rsidR="00CB03CD">
        <w:rPr>
          <w:rFonts w:ascii="Arial" w:hAnsi="Arial" w:cs="Arial"/>
          <w:sz w:val="20"/>
          <w:szCs w:val="20"/>
        </w:rPr>
        <w:t xml:space="preserve">arge </w:t>
      </w:r>
      <w:r w:rsidR="00B41B08">
        <w:rPr>
          <w:rFonts w:ascii="Arial" w:hAnsi="Arial" w:cs="Arial"/>
          <w:sz w:val="20"/>
          <w:szCs w:val="20"/>
        </w:rPr>
        <w:t>C</w:t>
      </w:r>
      <w:r w:rsidR="00CB03CD">
        <w:rPr>
          <w:rFonts w:ascii="Arial" w:hAnsi="Arial" w:cs="Arial"/>
          <w:sz w:val="20"/>
          <w:szCs w:val="20"/>
        </w:rPr>
        <w:t>ity" group</w:t>
      </w:r>
      <w:r w:rsidR="00DE0F7D">
        <w:rPr>
          <w:rFonts w:ascii="Arial" w:hAnsi="Arial" w:cs="Arial"/>
          <w:sz w:val="20"/>
          <w:szCs w:val="20"/>
        </w:rPr>
        <w:t>—</w:t>
      </w:r>
      <w:r w:rsidR="005003B0">
        <w:rPr>
          <w:rFonts w:ascii="Arial" w:hAnsi="Arial" w:cs="Arial"/>
          <w:sz w:val="20"/>
          <w:szCs w:val="20"/>
        </w:rPr>
        <w:t xml:space="preserve">the </w:t>
      </w:r>
      <w:r w:rsidRPr="00124581">
        <w:rPr>
          <w:rFonts w:ascii="Arial" w:hAnsi="Arial" w:cs="Arial"/>
          <w:sz w:val="20"/>
          <w:szCs w:val="20"/>
        </w:rPr>
        <w:t>NAEP classification for cit</w:t>
      </w:r>
      <w:r>
        <w:rPr>
          <w:rFonts w:ascii="Arial" w:hAnsi="Arial" w:cs="Arial"/>
          <w:sz w:val="20"/>
          <w:szCs w:val="20"/>
        </w:rPr>
        <w:t xml:space="preserve">ies with populations of 250,000 </w:t>
      </w:r>
      <w:r w:rsidRPr="00124581">
        <w:rPr>
          <w:rFonts w:ascii="Arial" w:hAnsi="Arial" w:cs="Arial"/>
          <w:sz w:val="20"/>
          <w:szCs w:val="20"/>
        </w:rPr>
        <w:t>or more. </w:t>
      </w:r>
      <w:r w:rsidR="00610704">
        <w:rPr>
          <w:rFonts w:ascii="Arial" w:hAnsi="Arial" w:cs="Arial"/>
          <w:sz w:val="20"/>
          <w:szCs w:val="20"/>
        </w:rPr>
        <w:t>Since the last assessment in 2017, t</w:t>
      </w:r>
      <w:r w:rsidRPr="00124581">
        <w:rPr>
          <w:rFonts w:ascii="Arial" w:hAnsi="Arial" w:cs="Arial"/>
          <w:sz w:val="20"/>
          <w:szCs w:val="20"/>
        </w:rPr>
        <w:t>he large city average score </w:t>
      </w:r>
      <w:r w:rsidR="002B30DC">
        <w:rPr>
          <w:rFonts w:ascii="Arial" w:hAnsi="Arial" w:cs="Arial"/>
          <w:sz w:val="20"/>
          <w:szCs w:val="20"/>
        </w:rPr>
        <w:t>stayed the same for grade 4 reading and grade 8 mathematics</w:t>
      </w:r>
      <w:r w:rsidR="0023493F">
        <w:rPr>
          <w:rFonts w:ascii="Arial" w:hAnsi="Arial" w:cs="Arial"/>
          <w:sz w:val="20"/>
          <w:szCs w:val="20"/>
        </w:rPr>
        <w:t>, while scores</w:t>
      </w:r>
      <w:r w:rsidR="002B30DC">
        <w:rPr>
          <w:rFonts w:ascii="Arial" w:hAnsi="Arial" w:cs="Arial"/>
          <w:sz w:val="20"/>
          <w:szCs w:val="20"/>
        </w:rPr>
        <w:t xml:space="preserve"> increased for grade 4 mathematics and decreased for grade 8 reading, following the national pattern. </w:t>
      </w:r>
    </w:p>
    <w:p w14:paraId="4B7E1317" w14:textId="46B7DDF9" w:rsidR="00CD1094" w:rsidRPr="00E849A9" w:rsidRDefault="0072030F" w:rsidP="00C022FF">
      <w:pPr>
        <w:keepNext/>
        <w:spacing w:after="200" w:line="276" w:lineRule="auto"/>
        <w:rPr>
          <w:rFonts w:ascii="Arial" w:hAnsi="Arial" w:cs="Arial"/>
          <w:sz w:val="20"/>
          <w:szCs w:val="20"/>
        </w:rPr>
      </w:pPr>
      <w:r>
        <w:rPr>
          <w:rFonts w:ascii="Arial" w:hAnsi="Arial" w:cs="Arial"/>
          <w:sz w:val="20"/>
          <w:szCs w:val="20"/>
        </w:rPr>
        <w:lastRenderedPageBreak/>
        <w:t>District findings included</w:t>
      </w:r>
      <w:r w:rsidR="006A75F8">
        <w:rPr>
          <w:rFonts w:ascii="Arial" w:hAnsi="Arial" w:cs="Arial"/>
          <w:sz w:val="20"/>
          <w:szCs w:val="20"/>
        </w:rPr>
        <w:t>:</w:t>
      </w:r>
    </w:p>
    <w:p w14:paraId="10E2AD63" w14:textId="7C7FBDAC" w:rsidR="00A41A70" w:rsidRDefault="00A41A70" w:rsidP="00C022FF">
      <w:pPr>
        <w:pStyle w:val="ListParagraph"/>
        <w:numPr>
          <w:ilvl w:val="0"/>
          <w:numId w:val="10"/>
        </w:numPr>
        <w:spacing w:after="200" w:line="276" w:lineRule="auto"/>
        <w:rPr>
          <w:rFonts w:ascii="Arial" w:hAnsi="Arial" w:cs="Arial"/>
          <w:sz w:val="20"/>
          <w:szCs w:val="20"/>
        </w:rPr>
      </w:pPr>
      <w:r>
        <w:rPr>
          <w:rFonts w:ascii="Arial" w:hAnsi="Arial" w:cs="Arial"/>
          <w:sz w:val="20"/>
          <w:szCs w:val="20"/>
        </w:rPr>
        <w:t>Average scores for fourth-grade reading decreased in three of the districts: Jefferson County (Kentucky), Miami-Dade, and Milwaukee.</w:t>
      </w:r>
      <w:r w:rsidR="00D43691">
        <w:rPr>
          <w:rFonts w:ascii="Arial" w:hAnsi="Arial" w:cs="Arial"/>
          <w:sz w:val="20"/>
          <w:szCs w:val="20"/>
        </w:rPr>
        <w:t xml:space="preserve"> </w:t>
      </w:r>
      <w:r w:rsidR="00382A37">
        <w:rPr>
          <w:rFonts w:ascii="Arial" w:hAnsi="Arial" w:cs="Arial"/>
          <w:sz w:val="20"/>
          <w:szCs w:val="20"/>
        </w:rPr>
        <w:t>No districts saw an increase.</w:t>
      </w:r>
    </w:p>
    <w:p w14:paraId="120159F9" w14:textId="05D0E279" w:rsidR="00E70C4E" w:rsidRDefault="00E70C4E" w:rsidP="00C022FF">
      <w:pPr>
        <w:pStyle w:val="ListParagraph"/>
        <w:numPr>
          <w:ilvl w:val="0"/>
          <w:numId w:val="10"/>
        </w:numPr>
        <w:spacing w:after="200" w:line="276" w:lineRule="auto"/>
        <w:rPr>
          <w:rFonts w:ascii="Arial" w:hAnsi="Arial" w:cs="Arial"/>
          <w:sz w:val="20"/>
          <w:szCs w:val="20"/>
        </w:rPr>
      </w:pPr>
      <w:r w:rsidRPr="00AA4D00">
        <w:rPr>
          <w:rFonts w:ascii="Arial" w:hAnsi="Arial" w:cs="Arial"/>
          <w:sz w:val="20"/>
          <w:szCs w:val="20"/>
        </w:rPr>
        <w:t xml:space="preserve">Average scores </w:t>
      </w:r>
      <w:r>
        <w:rPr>
          <w:rFonts w:ascii="Arial" w:hAnsi="Arial" w:cs="Arial"/>
          <w:sz w:val="20"/>
          <w:szCs w:val="20"/>
        </w:rPr>
        <w:t xml:space="preserve">for eighth-grade reading decreased in 11 </w:t>
      </w:r>
      <w:r w:rsidRPr="00AA4D00">
        <w:rPr>
          <w:rFonts w:ascii="Arial" w:hAnsi="Arial" w:cs="Arial"/>
          <w:sz w:val="20"/>
          <w:szCs w:val="20"/>
        </w:rPr>
        <w:t xml:space="preserve">of the </w:t>
      </w:r>
      <w:r>
        <w:rPr>
          <w:rFonts w:ascii="Arial" w:hAnsi="Arial" w:cs="Arial"/>
          <w:sz w:val="20"/>
          <w:szCs w:val="20"/>
        </w:rPr>
        <w:t xml:space="preserve">districts: </w:t>
      </w:r>
      <w:r w:rsidR="006A75F8">
        <w:rPr>
          <w:rFonts w:ascii="Arial" w:hAnsi="Arial" w:cs="Arial"/>
          <w:sz w:val="20"/>
          <w:szCs w:val="20"/>
        </w:rPr>
        <w:t xml:space="preserve">Albuquerque, Austin, Boston, Chicago, Dallas, Duval County (Florida), Fort Worth (Texas), Hillsborough County (Florida), Los Angeles, Milwaukee, </w:t>
      </w:r>
      <w:r w:rsidR="0072030F">
        <w:rPr>
          <w:rFonts w:ascii="Arial" w:hAnsi="Arial" w:cs="Arial"/>
          <w:sz w:val="20"/>
          <w:szCs w:val="20"/>
        </w:rPr>
        <w:t>and Philadelphia.</w:t>
      </w:r>
      <w:r w:rsidR="00D43691">
        <w:rPr>
          <w:rFonts w:ascii="Arial" w:hAnsi="Arial" w:cs="Arial"/>
          <w:sz w:val="20"/>
          <w:szCs w:val="20"/>
        </w:rPr>
        <w:t xml:space="preserve"> The only increase was for the District of Columbia Public Schools. </w:t>
      </w:r>
    </w:p>
    <w:p w14:paraId="25A155BE" w14:textId="61B24ACA" w:rsidR="006A75F8" w:rsidRDefault="006A75F8" w:rsidP="00C022FF">
      <w:pPr>
        <w:pStyle w:val="ListParagraph"/>
        <w:numPr>
          <w:ilvl w:val="0"/>
          <w:numId w:val="10"/>
        </w:numPr>
        <w:spacing w:after="200" w:line="276" w:lineRule="auto"/>
        <w:rPr>
          <w:rFonts w:ascii="Arial" w:hAnsi="Arial" w:cs="Arial"/>
          <w:sz w:val="20"/>
          <w:szCs w:val="20"/>
        </w:rPr>
      </w:pPr>
      <w:r>
        <w:rPr>
          <w:rFonts w:ascii="Arial" w:hAnsi="Arial" w:cs="Arial"/>
          <w:sz w:val="20"/>
          <w:szCs w:val="20"/>
        </w:rPr>
        <w:t xml:space="preserve">Average scores for fourth-grade mathematics </w:t>
      </w:r>
      <w:r w:rsidR="00D43691">
        <w:rPr>
          <w:rFonts w:ascii="Arial" w:hAnsi="Arial" w:cs="Arial"/>
          <w:sz w:val="20"/>
          <w:szCs w:val="20"/>
        </w:rPr>
        <w:t xml:space="preserve">decreased in only one district, Guilford County (North Carolina). Scores </w:t>
      </w:r>
      <w:r>
        <w:rPr>
          <w:rFonts w:ascii="Arial" w:hAnsi="Arial" w:cs="Arial"/>
          <w:sz w:val="20"/>
          <w:szCs w:val="20"/>
        </w:rPr>
        <w:t xml:space="preserve">increased in </w:t>
      </w:r>
      <w:r w:rsidR="00A41A70">
        <w:rPr>
          <w:rFonts w:ascii="Arial" w:hAnsi="Arial" w:cs="Arial"/>
          <w:sz w:val="20"/>
          <w:szCs w:val="20"/>
        </w:rPr>
        <w:t xml:space="preserve">five districts: </w:t>
      </w:r>
      <w:r>
        <w:rPr>
          <w:rFonts w:ascii="Arial" w:hAnsi="Arial" w:cs="Arial"/>
          <w:sz w:val="20"/>
          <w:szCs w:val="20"/>
        </w:rPr>
        <w:t>Clark County (Nevada), Cleveland, Denver, Detroit, and District of Columbia Public Schools</w:t>
      </w:r>
      <w:r w:rsidR="0072030F">
        <w:rPr>
          <w:rFonts w:ascii="Arial" w:hAnsi="Arial" w:cs="Arial"/>
          <w:sz w:val="20"/>
          <w:szCs w:val="20"/>
        </w:rPr>
        <w:t>.</w:t>
      </w:r>
    </w:p>
    <w:p w14:paraId="4BAF1E9E" w14:textId="5643198B" w:rsidR="00E70C4E" w:rsidRDefault="005003B0" w:rsidP="00A41A70">
      <w:pPr>
        <w:pStyle w:val="ListParagraph"/>
        <w:numPr>
          <w:ilvl w:val="0"/>
          <w:numId w:val="10"/>
        </w:numPr>
        <w:spacing w:after="200" w:line="276" w:lineRule="auto"/>
        <w:rPr>
          <w:rFonts w:ascii="Arial" w:hAnsi="Arial" w:cs="Arial"/>
          <w:sz w:val="20"/>
          <w:szCs w:val="20"/>
        </w:rPr>
      </w:pPr>
      <w:r>
        <w:rPr>
          <w:rFonts w:ascii="Arial" w:hAnsi="Arial" w:cs="Arial"/>
          <w:sz w:val="20"/>
          <w:szCs w:val="20"/>
        </w:rPr>
        <w:t xml:space="preserve">Average scores for </w:t>
      </w:r>
      <w:r w:rsidR="00A41A70">
        <w:rPr>
          <w:rFonts w:ascii="Arial" w:hAnsi="Arial" w:cs="Arial"/>
          <w:sz w:val="20"/>
          <w:szCs w:val="20"/>
        </w:rPr>
        <w:t xml:space="preserve">eighth-grade mathematics </w:t>
      </w:r>
      <w:r w:rsidR="00D43691">
        <w:rPr>
          <w:rFonts w:ascii="Arial" w:hAnsi="Arial" w:cs="Arial"/>
          <w:sz w:val="20"/>
          <w:szCs w:val="20"/>
        </w:rPr>
        <w:t>decreased in three of the districts: Dallas, Fort Worth (Texas), and Los Angeles. Scores increased in four districts: Denver, District of Columbia Public Schools, Guilford County (North Carolina), and Shelby County (Tennessee).</w:t>
      </w:r>
    </w:p>
    <w:p w14:paraId="6737BDA3" w14:textId="433DD09D" w:rsidR="00382A37" w:rsidRDefault="00382A37" w:rsidP="00A41A70">
      <w:pPr>
        <w:pStyle w:val="ListParagraph"/>
        <w:numPr>
          <w:ilvl w:val="0"/>
          <w:numId w:val="10"/>
        </w:numPr>
        <w:spacing w:after="200" w:line="276" w:lineRule="auto"/>
        <w:rPr>
          <w:rFonts w:ascii="Arial" w:hAnsi="Arial" w:cs="Arial"/>
          <w:sz w:val="20"/>
          <w:szCs w:val="20"/>
        </w:rPr>
      </w:pPr>
      <w:r>
        <w:rPr>
          <w:rFonts w:ascii="Arial" w:hAnsi="Arial" w:cs="Arial"/>
          <w:sz w:val="20"/>
          <w:szCs w:val="20"/>
        </w:rPr>
        <w:t xml:space="preserve">Charlotte-Mecklenburg and San Diego were the only districts to perform higher than the Large City average </w:t>
      </w:r>
      <w:r w:rsidR="00AF4F8B">
        <w:rPr>
          <w:rFonts w:ascii="Arial" w:hAnsi="Arial" w:cs="Arial"/>
          <w:sz w:val="20"/>
          <w:szCs w:val="20"/>
        </w:rPr>
        <w:t>in</w:t>
      </w:r>
      <w:r>
        <w:rPr>
          <w:rFonts w:ascii="Arial" w:hAnsi="Arial" w:cs="Arial"/>
          <w:sz w:val="20"/>
          <w:szCs w:val="20"/>
        </w:rPr>
        <w:t xml:space="preserve"> all grade</w:t>
      </w:r>
      <w:r w:rsidR="00AF4F8B">
        <w:rPr>
          <w:rFonts w:ascii="Arial" w:hAnsi="Arial" w:cs="Arial"/>
          <w:sz w:val="20"/>
          <w:szCs w:val="20"/>
        </w:rPr>
        <w:t>s</w:t>
      </w:r>
      <w:r>
        <w:rPr>
          <w:rFonts w:ascii="Arial" w:hAnsi="Arial" w:cs="Arial"/>
          <w:sz w:val="20"/>
          <w:szCs w:val="20"/>
        </w:rPr>
        <w:t>/subjects.</w:t>
      </w:r>
    </w:p>
    <w:p w14:paraId="133EF3A1" w14:textId="3F632CB5" w:rsidR="00AF4F8B" w:rsidRDefault="00AF4F8B" w:rsidP="00A41A70">
      <w:pPr>
        <w:pStyle w:val="ListParagraph"/>
        <w:numPr>
          <w:ilvl w:val="0"/>
          <w:numId w:val="10"/>
        </w:numPr>
        <w:spacing w:after="200" w:line="276" w:lineRule="auto"/>
        <w:rPr>
          <w:rFonts w:ascii="Arial" w:hAnsi="Arial" w:cs="Arial"/>
          <w:sz w:val="20"/>
          <w:szCs w:val="20"/>
        </w:rPr>
      </w:pPr>
      <w:r>
        <w:rPr>
          <w:rFonts w:ascii="Arial" w:hAnsi="Arial" w:cs="Arial"/>
          <w:sz w:val="20"/>
          <w:szCs w:val="20"/>
        </w:rPr>
        <w:t>District of Columbia Public Schools was the only district to have score increases in three of four grade/subject combinations.</w:t>
      </w:r>
    </w:p>
    <w:p w14:paraId="792CD53A" w14:textId="77777777" w:rsidR="00016F45" w:rsidRPr="00E849A9" w:rsidRDefault="00016F45" w:rsidP="00FB212A">
      <w:pPr>
        <w:keepNext/>
        <w:spacing w:after="120" w:line="276" w:lineRule="auto"/>
        <w:rPr>
          <w:rFonts w:ascii="Arial" w:hAnsi="Arial" w:cs="Arial"/>
          <w:b/>
          <w:sz w:val="20"/>
          <w:szCs w:val="20"/>
        </w:rPr>
      </w:pPr>
      <w:r w:rsidRPr="00AA4D00">
        <w:rPr>
          <w:rFonts w:ascii="Arial" w:hAnsi="Arial" w:cs="Arial"/>
          <w:b/>
          <w:sz w:val="20"/>
          <w:szCs w:val="20"/>
        </w:rPr>
        <w:t>About the Assessment</w:t>
      </w:r>
    </w:p>
    <w:p w14:paraId="3170E436" w14:textId="631185D4" w:rsidR="0070539D" w:rsidRDefault="003C7913" w:rsidP="00FB212A">
      <w:pPr>
        <w:spacing w:after="200" w:line="276" w:lineRule="auto"/>
        <w:rPr>
          <w:rFonts w:ascii="Arial" w:hAnsi="Arial" w:cs="Arial"/>
          <w:sz w:val="20"/>
          <w:szCs w:val="20"/>
        </w:rPr>
      </w:pPr>
      <w:r>
        <w:rPr>
          <w:rFonts w:ascii="Arial" w:hAnsi="Arial" w:cs="Arial"/>
          <w:sz w:val="20"/>
          <w:szCs w:val="20"/>
        </w:rPr>
        <w:t>NCES administered t</w:t>
      </w:r>
      <w:r w:rsidR="00C65643">
        <w:rPr>
          <w:rFonts w:ascii="Arial" w:hAnsi="Arial" w:cs="Arial"/>
          <w:sz w:val="20"/>
          <w:szCs w:val="20"/>
        </w:rPr>
        <w:t>he 201</w:t>
      </w:r>
      <w:r w:rsidR="00E70C4E">
        <w:rPr>
          <w:rFonts w:ascii="Arial" w:hAnsi="Arial" w:cs="Arial"/>
          <w:sz w:val="20"/>
          <w:szCs w:val="20"/>
        </w:rPr>
        <w:t>9</w:t>
      </w:r>
      <w:r w:rsidR="00CD1094" w:rsidRPr="00E849A9">
        <w:rPr>
          <w:rFonts w:ascii="Arial" w:hAnsi="Arial" w:cs="Arial"/>
          <w:sz w:val="20"/>
          <w:szCs w:val="20"/>
        </w:rPr>
        <w:t xml:space="preserve"> math</w:t>
      </w:r>
      <w:r w:rsidR="000B2144">
        <w:rPr>
          <w:rFonts w:ascii="Arial" w:hAnsi="Arial" w:cs="Arial"/>
          <w:sz w:val="20"/>
          <w:szCs w:val="20"/>
        </w:rPr>
        <w:t>ematics</w:t>
      </w:r>
      <w:r w:rsidR="00CD1094" w:rsidRPr="00E849A9">
        <w:rPr>
          <w:rFonts w:ascii="Arial" w:hAnsi="Arial" w:cs="Arial"/>
          <w:sz w:val="20"/>
          <w:szCs w:val="20"/>
        </w:rPr>
        <w:t xml:space="preserve"> and reading assessments </w:t>
      </w:r>
      <w:r w:rsidR="00CD1094" w:rsidRPr="00E849A9">
        <w:rPr>
          <w:rFonts w:ascii="Arial" w:eastAsia="Times New Roman" w:hAnsi="Arial" w:cs="Arial"/>
          <w:sz w:val="20"/>
          <w:szCs w:val="20"/>
        </w:rPr>
        <w:t>to</w:t>
      </w:r>
      <w:r w:rsidR="00CD1094" w:rsidRPr="00E849A9">
        <w:rPr>
          <w:rFonts w:ascii="Arial" w:eastAsia="Times New Roman" w:hAnsi="Arial" w:cs="Arial"/>
          <w:spacing w:val="-1"/>
          <w:sz w:val="20"/>
          <w:szCs w:val="20"/>
        </w:rPr>
        <w:t xml:space="preserve"> </w:t>
      </w:r>
      <w:r w:rsidR="00CD1094" w:rsidRPr="00E849A9">
        <w:rPr>
          <w:rFonts w:ascii="Arial" w:eastAsia="Times New Roman" w:hAnsi="Arial" w:cs="Arial"/>
          <w:sz w:val="20"/>
          <w:szCs w:val="20"/>
        </w:rPr>
        <w:t>fourth</w:t>
      </w:r>
      <w:r w:rsidR="00D45ED0">
        <w:rPr>
          <w:rFonts w:ascii="Arial" w:eastAsia="Times New Roman" w:hAnsi="Arial" w:cs="Arial"/>
          <w:sz w:val="20"/>
          <w:szCs w:val="20"/>
        </w:rPr>
        <w:t>-</w:t>
      </w:r>
      <w:r w:rsidR="00CD1094" w:rsidRPr="00E849A9">
        <w:rPr>
          <w:rFonts w:ascii="Arial" w:eastAsia="Times New Roman" w:hAnsi="Arial" w:cs="Arial"/>
          <w:spacing w:val="-4"/>
          <w:sz w:val="20"/>
          <w:szCs w:val="20"/>
        </w:rPr>
        <w:t xml:space="preserve"> </w:t>
      </w:r>
      <w:r w:rsidR="00CD1094" w:rsidRPr="00E849A9">
        <w:rPr>
          <w:rFonts w:ascii="Arial" w:eastAsia="Times New Roman" w:hAnsi="Arial" w:cs="Arial"/>
          <w:sz w:val="20"/>
          <w:szCs w:val="20"/>
        </w:rPr>
        <w:t>and</w:t>
      </w:r>
      <w:r w:rsidR="00CD1094" w:rsidRPr="00E849A9">
        <w:rPr>
          <w:rFonts w:ascii="Arial" w:eastAsia="Times New Roman" w:hAnsi="Arial" w:cs="Arial"/>
          <w:spacing w:val="-1"/>
          <w:sz w:val="20"/>
          <w:szCs w:val="20"/>
        </w:rPr>
        <w:t xml:space="preserve"> </w:t>
      </w:r>
      <w:r w:rsidR="00CD1094" w:rsidRPr="00E849A9">
        <w:rPr>
          <w:rFonts w:ascii="Arial" w:eastAsia="Times New Roman" w:hAnsi="Arial" w:cs="Arial"/>
          <w:sz w:val="20"/>
          <w:szCs w:val="20"/>
        </w:rPr>
        <w:t>eighth</w:t>
      </w:r>
      <w:r w:rsidR="00D45ED0">
        <w:rPr>
          <w:rFonts w:ascii="Arial" w:eastAsia="Times New Roman" w:hAnsi="Arial" w:cs="Arial"/>
          <w:spacing w:val="-5"/>
          <w:sz w:val="20"/>
          <w:szCs w:val="20"/>
        </w:rPr>
        <w:t>-</w:t>
      </w:r>
      <w:r w:rsidR="00CD1094" w:rsidRPr="00E849A9">
        <w:rPr>
          <w:rFonts w:ascii="Arial" w:eastAsia="Times New Roman" w:hAnsi="Arial" w:cs="Arial"/>
          <w:sz w:val="20"/>
          <w:szCs w:val="20"/>
        </w:rPr>
        <w:t>graders</w:t>
      </w:r>
      <w:r w:rsidR="00CD1094" w:rsidRPr="00E849A9">
        <w:rPr>
          <w:rFonts w:ascii="Arial" w:eastAsia="Times New Roman" w:hAnsi="Arial" w:cs="Arial"/>
          <w:spacing w:val="-5"/>
          <w:sz w:val="20"/>
          <w:szCs w:val="20"/>
        </w:rPr>
        <w:t xml:space="preserve"> </w:t>
      </w:r>
      <w:r w:rsidR="00CD1094" w:rsidRPr="00E849A9">
        <w:rPr>
          <w:rFonts w:ascii="Arial" w:eastAsia="Times New Roman" w:hAnsi="Arial" w:cs="Arial"/>
          <w:sz w:val="20"/>
          <w:szCs w:val="20"/>
        </w:rPr>
        <w:t>in</w:t>
      </w:r>
      <w:r w:rsidR="00CD1094" w:rsidRPr="00E849A9">
        <w:rPr>
          <w:rFonts w:ascii="Arial" w:eastAsia="Times New Roman" w:hAnsi="Arial" w:cs="Arial"/>
          <w:spacing w:val="-1"/>
          <w:sz w:val="20"/>
          <w:szCs w:val="20"/>
        </w:rPr>
        <w:t xml:space="preserve"> </w:t>
      </w:r>
      <w:r w:rsidR="00CD1094" w:rsidRPr="00E849A9">
        <w:rPr>
          <w:rFonts w:ascii="Arial" w:eastAsia="Times New Roman" w:hAnsi="Arial" w:cs="Arial"/>
          <w:sz w:val="20"/>
          <w:szCs w:val="20"/>
        </w:rPr>
        <w:t>public</w:t>
      </w:r>
      <w:r w:rsidR="00CD1094" w:rsidRPr="00E849A9">
        <w:rPr>
          <w:rFonts w:ascii="Arial" w:eastAsia="Times New Roman" w:hAnsi="Arial" w:cs="Arial"/>
          <w:spacing w:val="-6"/>
          <w:sz w:val="20"/>
          <w:szCs w:val="20"/>
        </w:rPr>
        <w:t xml:space="preserve"> </w:t>
      </w:r>
      <w:r w:rsidR="00CD1094" w:rsidRPr="00E849A9">
        <w:rPr>
          <w:rFonts w:ascii="Arial" w:eastAsia="Times New Roman" w:hAnsi="Arial" w:cs="Arial"/>
          <w:sz w:val="20"/>
          <w:szCs w:val="20"/>
        </w:rPr>
        <w:t>and private</w:t>
      </w:r>
      <w:r w:rsidR="00CD1094" w:rsidRPr="00E849A9">
        <w:rPr>
          <w:rFonts w:ascii="Arial" w:eastAsia="Times New Roman" w:hAnsi="Arial" w:cs="Arial"/>
          <w:spacing w:val="-7"/>
          <w:sz w:val="20"/>
          <w:szCs w:val="20"/>
        </w:rPr>
        <w:t xml:space="preserve"> </w:t>
      </w:r>
      <w:r w:rsidR="00CD1094" w:rsidRPr="00E849A9">
        <w:rPr>
          <w:rFonts w:ascii="Arial" w:eastAsia="Times New Roman" w:hAnsi="Arial" w:cs="Arial"/>
          <w:sz w:val="20"/>
          <w:szCs w:val="20"/>
        </w:rPr>
        <w:t>schools</w:t>
      </w:r>
      <w:r w:rsidR="00CD1094" w:rsidRPr="00E849A9">
        <w:rPr>
          <w:rFonts w:ascii="Arial" w:eastAsia="Times New Roman" w:hAnsi="Arial" w:cs="Arial"/>
          <w:spacing w:val="-5"/>
          <w:sz w:val="20"/>
          <w:szCs w:val="20"/>
        </w:rPr>
        <w:t xml:space="preserve"> </w:t>
      </w:r>
      <w:r w:rsidR="00CD1094" w:rsidRPr="00E849A9">
        <w:rPr>
          <w:rFonts w:ascii="Arial" w:eastAsia="Times New Roman" w:hAnsi="Arial" w:cs="Arial"/>
          <w:sz w:val="20"/>
          <w:szCs w:val="20"/>
        </w:rPr>
        <w:t>in</w:t>
      </w:r>
      <w:r w:rsidR="00CD1094" w:rsidRPr="00E849A9">
        <w:rPr>
          <w:rFonts w:ascii="Arial" w:eastAsia="Times New Roman" w:hAnsi="Arial" w:cs="Arial"/>
          <w:spacing w:val="-1"/>
          <w:sz w:val="20"/>
          <w:szCs w:val="20"/>
        </w:rPr>
        <w:t xml:space="preserve"> </w:t>
      </w:r>
      <w:r w:rsidR="00CD1094" w:rsidRPr="00E849A9">
        <w:rPr>
          <w:rFonts w:ascii="Arial" w:eastAsia="Times New Roman" w:hAnsi="Arial" w:cs="Arial"/>
          <w:sz w:val="20"/>
          <w:szCs w:val="20"/>
        </w:rPr>
        <w:t>all</w:t>
      </w:r>
      <w:r w:rsidR="00CD1094" w:rsidRPr="00E849A9">
        <w:rPr>
          <w:rFonts w:ascii="Arial" w:eastAsia="Times New Roman" w:hAnsi="Arial" w:cs="Arial"/>
          <w:spacing w:val="-2"/>
          <w:sz w:val="20"/>
          <w:szCs w:val="20"/>
        </w:rPr>
        <w:t xml:space="preserve"> </w:t>
      </w:r>
      <w:r w:rsidR="00CD1094" w:rsidRPr="00E849A9">
        <w:rPr>
          <w:rFonts w:ascii="Arial" w:eastAsia="Times New Roman" w:hAnsi="Arial" w:cs="Arial"/>
          <w:sz w:val="20"/>
          <w:szCs w:val="20"/>
        </w:rPr>
        <w:t>50 states,</w:t>
      </w:r>
      <w:r w:rsidR="00CD1094" w:rsidRPr="00E849A9">
        <w:rPr>
          <w:rFonts w:ascii="Arial" w:eastAsia="Times New Roman" w:hAnsi="Arial" w:cs="Arial"/>
          <w:spacing w:val="-3"/>
          <w:sz w:val="20"/>
          <w:szCs w:val="20"/>
        </w:rPr>
        <w:t xml:space="preserve"> </w:t>
      </w:r>
      <w:r w:rsidR="00CD1094" w:rsidRPr="00E849A9">
        <w:rPr>
          <w:rFonts w:ascii="Arial" w:eastAsia="Times New Roman" w:hAnsi="Arial" w:cs="Arial"/>
          <w:sz w:val="20"/>
          <w:szCs w:val="20"/>
        </w:rPr>
        <w:t>the</w:t>
      </w:r>
      <w:r w:rsidR="00CD1094" w:rsidRPr="00E849A9">
        <w:rPr>
          <w:rFonts w:ascii="Arial" w:eastAsia="Times New Roman" w:hAnsi="Arial" w:cs="Arial"/>
          <w:spacing w:val="-3"/>
          <w:sz w:val="20"/>
          <w:szCs w:val="20"/>
        </w:rPr>
        <w:t xml:space="preserve"> </w:t>
      </w:r>
      <w:r w:rsidR="00CD1094" w:rsidRPr="00E849A9">
        <w:rPr>
          <w:rFonts w:ascii="Arial" w:eastAsia="Times New Roman" w:hAnsi="Arial" w:cs="Arial"/>
          <w:sz w:val="20"/>
          <w:szCs w:val="20"/>
        </w:rPr>
        <w:t>District</w:t>
      </w:r>
      <w:r w:rsidR="00CD1094" w:rsidRPr="00E849A9">
        <w:rPr>
          <w:rFonts w:ascii="Arial" w:eastAsia="Times New Roman" w:hAnsi="Arial" w:cs="Arial"/>
          <w:spacing w:val="-5"/>
          <w:sz w:val="20"/>
          <w:szCs w:val="20"/>
        </w:rPr>
        <w:t xml:space="preserve"> </w:t>
      </w:r>
      <w:r w:rsidR="00CD1094" w:rsidRPr="00E849A9">
        <w:rPr>
          <w:rFonts w:ascii="Arial" w:eastAsia="Times New Roman" w:hAnsi="Arial" w:cs="Arial"/>
          <w:sz w:val="20"/>
          <w:szCs w:val="20"/>
        </w:rPr>
        <w:t>of Columbia,</w:t>
      </w:r>
      <w:r w:rsidR="00CD1094" w:rsidRPr="00E849A9">
        <w:rPr>
          <w:rFonts w:ascii="Arial" w:eastAsia="Times New Roman" w:hAnsi="Arial" w:cs="Arial"/>
          <w:spacing w:val="-9"/>
          <w:sz w:val="20"/>
          <w:szCs w:val="20"/>
        </w:rPr>
        <w:t xml:space="preserve"> </w:t>
      </w:r>
      <w:r w:rsidR="00EF18FC">
        <w:rPr>
          <w:rFonts w:ascii="Arial" w:eastAsia="Times New Roman" w:hAnsi="Arial" w:cs="Arial"/>
          <w:sz w:val="20"/>
          <w:szCs w:val="20"/>
        </w:rPr>
        <w:t xml:space="preserve">the </w:t>
      </w:r>
      <w:r w:rsidR="00CD1094" w:rsidRPr="00E849A9">
        <w:rPr>
          <w:rFonts w:ascii="Arial" w:eastAsia="Times New Roman" w:hAnsi="Arial" w:cs="Arial"/>
          <w:sz w:val="20"/>
          <w:szCs w:val="20"/>
        </w:rPr>
        <w:t>U.S. Department</w:t>
      </w:r>
      <w:r w:rsidR="00CD1094" w:rsidRPr="00E849A9">
        <w:rPr>
          <w:rFonts w:ascii="Arial" w:eastAsia="Times New Roman" w:hAnsi="Arial" w:cs="Arial"/>
          <w:spacing w:val="-10"/>
          <w:sz w:val="20"/>
          <w:szCs w:val="20"/>
        </w:rPr>
        <w:t xml:space="preserve"> </w:t>
      </w:r>
      <w:r w:rsidR="00CD1094" w:rsidRPr="00E849A9">
        <w:rPr>
          <w:rFonts w:ascii="Arial" w:eastAsia="Times New Roman" w:hAnsi="Arial" w:cs="Arial"/>
          <w:sz w:val="20"/>
          <w:szCs w:val="20"/>
        </w:rPr>
        <w:t>of Defense</w:t>
      </w:r>
      <w:r w:rsidR="00CD1094" w:rsidRPr="00E849A9">
        <w:rPr>
          <w:rFonts w:ascii="Arial" w:eastAsia="Times New Roman" w:hAnsi="Arial" w:cs="Arial"/>
          <w:spacing w:val="-3"/>
          <w:sz w:val="20"/>
          <w:szCs w:val="20"/>
        </w:rPr>
        <w:t xml:space="preserve"> </w:t>
      </w:r>
      <w:r w:rsidR="00CD1094" w:rsidRPr="00E849A9">
        <w:rPr>
          <w:rFonts w:ascii="Arial" w:eastAsia="Times New Roman" w:hAnsi="Arial" w:cs="Arial"/>
          <w:sz w:val="20"/>
          <w:szCs w:val="20"/>
        </w:rPr>
        <w:t>schools</w:t>
      </w:r>
      <w:r w:rsidR="00EF18FC">
        <w:rPr>
          <w:rFonts w:ascii="Arial" w:eastAsia="Times New Roman" w:hAnsi="Arial" w:cs="Arial"/>
          <w:sz w:val="20"/>
          <w:szCs w:val="20"/>
        </w:rPr>
        <w:t xml:space="preserve">, and in 27 </w:t>
      </w:r>
      <w:r w:rsidR="00525122">
        <w:rPr>
          <w:rFonts w:ascii="Arial" w:eastAsia="Times New Roman" w:hAnsi="Arial" w:cs="Arial"/>
          <w:sz w:val="20"/>
          <w:szCs w:val="20"/>
        </w:rPr>
        <w:t xml:space="preserve">urban </w:t>
      </w:r>
      <w:r w:rsidR="00EF18FC">
        <w:rPr>
          <w:rFonts w:ascii="Arial" w:eastAsia="Times New Roman" w:hAnsi="Arial" w:cs="Arial"/>
          <w:sz w:val="20"/>
          <w:szCs w:val="20"/>
        </w:rPr>
        <w:t>districts</w:t>
      </w:r>
      <w:r w:rsidR="00CD1094" w:rsidRPr="00E849A9">
        <w:rPr>
          <w:rFonts w:ascii="Arial" w:eastAsia="Times New Roman" w:hAnsi="Arial" w:cs="Arial"/>
          <w:sz w:val="20"/>
          <w:szCs w:val="20"/>
        </w:rPr>
        <w:t>.</w:t>
      </w:r>
      <w:r w:rsidR="00CD1094" w:rsidRPr="00E849A9">
        <w:rPr>
          <w:rFonts w:ascii="Arial" w:eastAsia="Times New Roman" w:hAnsi="Arial" w:cs="Arial"/>
          <w:spacing w:val="-5"/>
          <w:sz w:val="20"/>
          <w:szCs w:val="20"/>
        </w:rPr>
        <w:t xml:space="preserve"> </w:t>
      </w:r>
      <w:r w:rsidR="0001186F">
        <w:rPr>
          <w:rFonts w:ascii="Arial" w:eastAsia="Times New Roman" w:hAnsi="Arial" w:cs="Arial"/>
          <w:sz w:val="20"/>
          <w:szCs w:val="20"/>
        </w:rPr>
        <w:t>Results for states and districts</w:t>
      </w:r>
      <w:r w:rsidR="00CD1094" w:rsidRPr="00E849A9">
        <w:rPr>
          <w:rFonts w:ascii="Arial" w:eastAsia="Times New Roman" w:hAnsi="Arial" w:cs="Arial"/>
          <w:sz w:val="20"/>
          <w:szCs w:val="20"/>
        </w:rPr>
        <w:t xml:space="preserve"> are for public schools only.</w:t>
      </w:r>
      <w:r w:rsidR="00CD1094" w:rsidRPr="00E849A9">
        <w:rPr>
          <w:rFonts w:ascii="Arial" w:eastAsia="Times New Roman" w:hAnsi="Arial" w:cs="Arial"/>
          <w:spacing w:val="-3"/>
          <w:sz w:val="20"/>
          <w:szCs w:val="20"/>
        </w:rPr>
        <w:t xml:space="preserve"> </w:t>
      </w:r>
      <w:r w:rsidR="00CD1094" w:rsidRPr="00E849A9">
        <w:rPr>
          <w:rFonts w:ascii="Arial" w:eastAsia="Times New Roman" w:hAnsi="Arial" w:cs="Arial"/>
          <w:sz w:val="20"/>
          <w:szCs w:val="20"/>
        </w:rPr>
        <w:t>In 201</w:t>
      </w:r>
      <w:r w:rsidR="0072030F">
        <w:rPr>
          <w:rFonts w:ascii="Arial" w:eastAsia="Times New Roman" w:hAnsi="Arial" w:cs="Arial"/>
          <w:sz w:val="20"/>
          <w:szCs w:val="20"/>
        </w:rPr>
        <w:t>9</w:t>
      </w:r>
      <w:r w:rsidR="00CD1094" w:rsidRPr="00E849A9">
        <w:rPr>
          <w:rFonts w:ascii="Arial" w:eastAsia="Times New Roman" w:hAnsi="Arial" w:cs="Arial"/>
          <w:sz w:val="20"/>
          <w:szCs w:val="20"/>
        </w:rPr>
        <w:t>,</w:t>
      </w:r>
      <w:r w:rsidR="00CD1094" w:rsidRPr="00E849A9">
        <w:rPr>
          <w:rFonts w:ascii="Arial" w:hAnsi="Arial" w:cs="Arial"/>
          <w:sz w:val="20"/>
          <w:szCs w:val="20"/>
        </w:rPr>
        <w:t xml:space="preserve"> </w:t>
      </w:r>
      <w:r w:rsidR="0072030F">
        <w:rPr>
          <w:rFonts w:ascii="Arial" w:hAnsi="Arial" w:cs="Arial"/>
          <w:sz w:val="20"/>
          <w:szCs w:val="20"/>
        </w:rPr>
        <w:t xml:space="preserve">approximately 293,700 students participated in the reading assessment and approximately 296,900 students participated in the mathematics assessment. </w:t>
      </w:r>
      <w:r w:rsidR="00CD1094" w:rsidRPr="00E849A9">
        <w:rPr>
          <w:rFonts w:ascii="Arial" w:hAnsi="Arial" w:cs="Arial"/>
          <w:sz w:val="20"/>
          <w:szCs w:val="20"/>
        </w:rPr>
        <w:t>Samples of schools and students are drawn from each state and from the District of Columbia and Department of Defense schools.</w:t>
      </w:r>
      <w:r w:rsidR="0070539D">
        <w:rPr>
          <w:rFonts w:ascii="Arial" w:hAnsi="Arial" w:cs="Arial"/>
          <w:sz w:val="20"/>
          <w:szCs w:val="20"/>
        </w:rPr>
        <w:t xml:space="preserve"> </w:t>
      </w:r>
    </w:p>
    <w:p w14:paraId="51C443D6" w14:textId="2B39831C" w:rsidR="00CD1094" w:rsidRPr="00E849A9" w:rsidRDefault="00CD1094" w:rsidP="00C022FF">
      <w:pPr>
        <w:spacing w:afterLines="160" w:after="384" w:line="276" w:lineRule="auto"/>
        <w:rPr>
          <w:rFonts w:ascii="Arial" w:hAnsi="Arial" w:cs="Arial"/>
          <w:sz w:val="20"/>
          <w:szCs w:val="20"/>
        </w:rPr>
      </w:pPr>
      <w:r w:rsidRPr="00AF4F8B">
        <w:rPr>
          <w:rFonts w:ascii="Arial" w:hAnsi="Arial" w:cs="Arial"/>
          <w:sz w:val="20"/>
          <w:szCs w:val="20"/>
        </w:rPr>
        <w:t xml:space="preserve">Visit </w:t>
      </w:r>
      <w:hyperlink r:id="rId13" w:history="1">
        <w:r w:rsidR="00AF4F8B" w:rsidRPr="00655F2C">
          <w:rPr>
            <w:rStyle w:val="Hyperlink"/>
            <w:rFonts w:ascii="Arial" w:hAnsi="Arial" w:cs="Arial"/>
            <w:sz w:val="20"/>
            <w:szCs w:val="20"/>
          </w:rPr>
          <w:t>https://www.nationsreportcard.gov</w:t>
        </w:r>
      </w:hyperlink>
      <w:r w:rsidR="00C65643" w:rsidRPr="00EC4DE6">
        <w:rPr>
          <w:sz w:val="20"/>
          <w:szCs w:val="20"/>
        </w:rPr>
        <w:t xml:space="preserve"> </w:t>
      </w:r>
      <w:r w:rsidRPr="00E849A9">
        <w:rPr>
          <w:rFonts w:ascii="Arial" w:hAnsi="Arial" w:cs="Arial"/>
          <w:sz w:val="20"/>
          <w:szCs w:val="20"/>
        </w:rPr>
        <w:t>to view the report.</w:t>
      </w:r>
    </w:p>
    <w:p w14:paraId="716B3EE8" w14:textId="77777777" w:rsidR="00CD1094" w:rsidRPr="00E849A9" w:rsidRDefault="00CD1094" w:rsidP="00C022FF">
      <w:pPr>
        <w:spacing w:line="276" w:lineRule="auto"/>
        <w:jc w:val="center"/>
        <w:rPr>
          <w:rFonts w:ascii="Arial" w:hAnsi="Arial" w:cs="Arial"/>
          <w:sz w:val="20"/>
          <w:szCs w:val="20"/>
        </w:rPr>
      </w:pPr>
      <w:r w:rsidRPr="00E849A9">
        <w:rPr>
          <w:rFonts w:ascii="Arial" w:hAnsi="Arial" w:cs="Arial"/>
          <w:sz w:val="20"/>
          <w:szCs w:val="20"/>
        </w:rPr>
        <w:t>###</w:t>
      </w:r>
    </w:p>
    <w:p w14:paraId="3A594623" w14:textId="77777777" w:rsidR="006E2545" w:rsidRDefault="00CD1094" w:rsidP="00FB212A">
      <w:pPr>
        <w:spacing w:after="200" w:line="276" w:lineRule="auto"/>
        <w:rPr>
          <w:rFonts w:ascii="Arial" w:hAnsi="Arial" w:cs="Arial"/>
          <w:i/>
          <w:sz w:val="20"/>
          <w:szCs w:val="20"/>
        </w:rPr>
      </w:pPr>
      <w:r w:rsidRPr="00E849A9">
        <w:rPr>
          <w:rFonts w:ascii="Arial" w:hAnsi="Arial" w:cs="Arial"/>
          <w:i/>
          <w:sz w:val="20"/>
          <w:szCs w:val="20"/>
        </w:rPr>
        <w:t xml:space="preserve">The National Center for Education Statistics, a principal agency of the U.S. Federal Statistical System, is the statistical center of the U.S. Department of Education and the primary federal entity for collecting and analyzing data related to education in the U.S. and other nations. NCES fulfills a </w:t>
      </w:r>
      <w:r w:rsidR="00DD1074">
        <w:rPr>
          <w:rFonts w:ascii="Arial" w:hAnsi="Arial" w:cs="Arial"/>
          <w:i/>
          <w:sz w:val="20"/>
          <w:szCs w:val="20"/>
        </w:rPr>
        <w:t>c</w:t>
      </w:r>
      <w:r w:rsidR="00DD1074" w:rsidRPr="00E849A9">
        <w:rPr>
          <w:rFonts w:ascii="Arial" w:hAnsi="Arial" w:cs="Arial"/>
          <w:i/>
          <w:sz w:val="20"/>
          <w:szCs w:val="20"/>
        </w:rPr>
        <w:t xml:space="preserve">ongressional </w:t>
      </w:r>
      <w:r w:rsidRPr="00E849A9">
        <w:rPr>
          <w:rFonts w:ascii="Arial" w:hAnsi="Arial" w:cs="Arial"/>
          <w:i/>
          <w:sz w:val="20"/>
          <w:szCs w:val="20"/>
        </w:rPr>
        <w:t>mandate to collect, collate, analyze, and report complete statistics on the condition of American education; conduct and publish reports; and review and report on education activities internationally.</w:t>
      </w:r>
      <w:r w:rsidRPr="00E849A9" w:rsidDel="009F768B">
        <w:rPr>
          <w:rFonts w:ascii="Arial" w:hAnsi="Arial" w:cs="Arial"/>
          <w:i/>
          <w:sz w:val="20"/>
          <w:szCs w:val="20"/>
        </w:rPr>
        <w:t xml:space="preserve"> </w:t>
      </w:r>
    </w:p>
    <w:p w14:paraId="0DE4904C" w14:textId="77777777" w:rsidR="00EA1733" w:rsidRPr="00E849A9" w:rsidRDefault="00213FE1" w:rsidP="00C022FF">
      <w:pPr>
        <w:spacing w:line="276" w:lineRule="auto"/>
        <w:rPr>
          <w:rFonts w:ascii="Arial" w:hAnsi="Arial" w:cs="Arial"/>
          <w:i/>
          <w:sz w:val="20"/>
          <w:szCs w:val="20"/>
        </w:rPr>
      </w:pPr>
      <w:r w:rsidRPr="00E849A9">
        <w:rPr>
          <w:rFonts w:ascii="Arial" w:hAnsi="Arial" w:cs="Arial"/>
          <w:i/>
          <w:sz w:val="20"/>
          <w:szCs w:val="20"/>
        </w:rPr>
        <w:t>The National Assessment of Educational Progress (NAEP) is a congressionally authorized project sponsored by the U.S. Department of Education. The National Center for Education Statistics, within the Institute of Education Sciences, administers NAEP. The Commissioner of the National Center for Education Statistics is responsible by law for carrying out the NAEP project.</w:t>
      </w:r>
      <w:r>
        <w:rPr>
          <w:rFonts w:ascii="Arial" w:hAnsi="Arial" w:cs="Arial"/>
          <w:i/>
          <w:sz w:val="20"/>
          <w:szCs w:val="20"/>
        </w:rPr>
        <w:t xml:space="preserve"> Policy for the NAEP program is set by </w:t>
      </w:r>
      <w:r>
        <w:rPr>
          <w:rFonts w:ascii="Arial" w:hAnsi="Arial" w:cs="Arial"/>
          <w:bCs/>
          <w:i/>
          <w:iCs/>
          <w:sz w:val="20"/>
          <w:szCs w:val="20"/>
        </w:rPr>
        <w:t>t</w:t>
      </w:r>
      <w:r w:rsidR="00BC480E" w:rsidRPr="00E849A9">
        <w:rPr>
          <w:rFonts w:ascii="Arial" w:hAnsi="Arial" w:cs="Arial"/>
          <w:bCs/>
          <w:i/>
          <w:iCs/>
          <w:sz w:val="20"/>
          <w:szCs w:val="20"/>
        </w:rPr>
        <w:t>he National Assessment Governing Board</w:t>
      </w:r>
      <w:r w:rsidR="00A861AF">
        <w:rPr>
          <w:rFonts w:ascii="Arial" w:hAnsi="Arial" w:cs="Arial"/>
          <w:bCs/>
          <w:i/>
          <w:iCs/>
          <w:sz w:val="20"/>
          <w:szCs w:val="20"/>
        </w:rPr>
        <w:t xml:space="preserve"> (NAGB)</w:t>
      </w:r>
      <w:r>
        <w:rPr>
          <w:rFonts w:ascii="Arial" w:hAnsi="Arial" w:cs="Arial"/>
          <w:bCs/>
          <w:i/>
          <w:iCs/>
          <w:sz w:val="20"/>
          <w:szCs w:val="20"/>
        </w:rPr>
        <w:t>,</w:t>
      </w:r>
      <w:r w:rsidR="00BC480E" w:rsidRPr="00E849A9">
        <w:rPr>
          <w:rFonts w:ascii="Arial" w:hAnsi="Arial" w:cs="Arial"/>
          <w:i/>
          <w:iCs/>
          <w:sz w:val="20"/>
          <w:szCs w:val="20"/>
        </w:rPr>
        <w:t xml:space="preserve"> an independent, bipartisan board whose members include governors, state legislators, local and state school officials, educators, business representatives and members of the general public. </w:t>
      </w:r>
      <w:r w:rsidR="00A861AF" w:rsidRPr="00A861AF">
        <w:rPr>
          <w:rFonts w:ascii="Arial" w:hAnsi="Arial" w:cs="Arial"/>
          <w:i/>
          <w:iCs/>
          <w:sz w:val="20"/>
          <w:szCs w:val="20"/>
        </w:rPr>
        <w:t>Since 1990, NAGB has been developing achievement levels, which are being used on a trial basis.</w:t>
      </w:r>
    </w:p>
    <w:sectPr w:rsidR="00EA1733" w:rsidRPr="00E849A9" w:rsidSect="000039E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E9A10" w14:textId="77777777" w:rsidR="00D76411" w:rsidRDefault="00D76411" w:rsidP="00954216">
      <w:pPr>
        <w:spacing w:after="0" w:line="240" w:lineRule="auto"/>
      </w:pPr>
      <w:r>
        <w:separator/>
      </w:r>
    </w:p>
  </w:endnote>
  <w:endnote w:type="continuationSeparator" w:id="0">
    <w:p w14:paraId="5366A97A" w14:textId="77777777" w:rsidR="00D76411" w:rsidRDefault="00D76411" w:rsidP="00954216">
      <w:pPr>
        <w:spacing w:after="0" w:line="240" w:lineRule="auto"/>
      </w:pPr>
      <w:r>
        <w:continuationSeparator/>
      </w:r>
    </w:p>
  </w:endnote>
  <w:endnote w:type="continuationNotice" w:id="1">
    <w:p w14:paraId="7440A55F" w14:textId="77777777" w:rsidR="00D76411" w:rsidRDefault="00D76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D41B0" w14:textId="77777777" w:rsidR="00D76411" w:rsidRDefault="00D76411" w:rsidP="00954216">
      <w:pPr>
        <w:spacing w:after="0" w:line="240" w:lineRule="auto"/>
      </w:pPr>
      <w:r>
        <w:separator/>
      </w:r>
    </w:p>
  </w:footnote>
  <w:footnote w:type="continuationSeparator" w:id="0">
    <w:p w14:paraId="32755790" w14:textId="77777777" w:rsidR="00D76411" w:rsidRDefault="00D76411" w:rsidP="00954216">
      <w:pPr>
        <w:spacing w:after="0" w:line="240" w:lineRule="auto"/>
      </w:pPr>
      <w:r>
        <w:continuationSeparator/>
      </w:r>
    </w:p>
  </w:footnote>
  <w:footnote w:type="continuationNotice" w:id="1">
    <w:p w14:paraId="3ADD737F" w14:textId="77777777" w:rsidR="00D76411" w:rsidRDefault="00D7641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8E6C4" w14:textId="1E939A2E" w:rsidR="00017FD5" w:rsidRPr="004F6D27" w:rsidRDefault="00017FD5" w:rsidP="00E849A9">
    <w:pPr>
      <w:pStyle w:val="Header"/>
      <w:rPr>
        <w:rFonts w:ascii="Arial" w:hAnsi="Arial" w:cs="Arial"/>
        <w:b/>
      </w:rPr>
    </w:pPr>
    <w:r w:rsidRPr="004F6D27">
      <w:rPr>
        <w:rFonts w:ascii="Arial" w:hAnsi="Arial" w:cs="Arial"/>
        <w:b/>
      </w:rPr>
      <w:t>EMBARGOED</w:t>
    </w:r>
    <w:r>
      <w:rPr>
        <w:rFonts w:ascii="Arial" w:hAnsi="Arial" w:cs="Arial"/>
        <w:b/>
      </w:rPr>
      <w:t xml:space="preserve"> UNTIL 12:01 A.M. EDT </w:t>
    </w:r>
    <w:r w:rsidR="00D53D09">
      <w:rPr>
        <w:rFonts w:ascii="Arial" w:hAnsi="Arial" w:cs="Arial"/>
        <w:b/>
      </w:rPr>
      <w:t>10</w:t>
    </w:r>
    <w:r>
      <w:rPr>
        <w:rFonts w:ascii="Arial" w:hAnsi="Arial" w:cs="Arial"/>
        <w:b/>
      </w:rPr>
      <w:t>/</w:t>
    </w:r>
    <w:r w:rsidR="00D53D09">
      <w:rPr>
        <w:rFonts w:ascii="Arial" w:hAnsi="Arial" w:cs="Arial"/>
        <w:b/>
      </w:rPr>
      <w:t>30</w:t>
    </w:r>
    <w:r>
      <w:rPr>
        <w:rFonts w:ascii="Arial" w:hAnsi="Arial" w:cs="Arial"/>
        <w:b/>
      </w:rPr>
      <w:t>/1</w:t>
    </w:r>
    <w:r w:rsidR="00D53D09">
      <w:rPr>
        <w:rFonts w:ascii="Arial" w:hAnsi="Arial" w:cs="Arial"/>
        <w:b/>
      </w:rPr>
      <w:t>9</w:t>
    </w:r>
  </w:p>
  <w:p w14:paraId="30D9AB18" w14:textId="77777777" w:rsidR="00017FD5" w:rsidRPr="004F6D27" w:rsidRDefault="00017FD5">
    <w:pPr>
      <w:pStyle w:val="Header"/>
      <w:rPr>
        <w:rFonts w:ascii="Arial" w:hAnsi="Arial" w:cs="Arial"/>
        <w:b/>
      </w:rPr>
    </w:pPr>
  </w:p>
  <w:p w14:paraId="298592E8" w14:textId="77777777" w:rsidR="00017FD5" w:rsidRDefault="00017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3FDB"/>
    <w:multiLevelType w:val="hybridMultilevel"/>
    <w:tmpl w:val="FE74600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36DC6"/>
    <w:multiLevelType w:val="hybridMultilevel"/>
    <w:tmpl w:val="7B6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52DDD"/>
    <w:multiLevelType w:val="hybridMultilevel"/>
    <w:tmpl w:val="62225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0793C"/>
    <w:multiLevelType w:val="hybridMultilevel"/>
    <w:tmpl w:val="9F68FD48"/>
    <w:lvl w:ilvl="0" w:tplc="454E4456">
      <w:start w:val="1"/>
      <w:numFmt w:val="bullet"/>
      <w:lvlText w:val="•"/>
      <w:lvlJc w:val="left"/>
      <w:pPr>
        <w:tabs>
          <w:tab w:val="num" w:pos="720"/>
        </w:tabs>
        <w:ind w:left="720" w:hanging="360"/>
      </w:pPr>
      <w:rPr>
        <w:rFonts w:ascii="Times New Roman" w:hAnsi="Times New Roman" w:hint="default"/>
      </w:rPr>
    </w:lvl>
    <w:lvl w:ilvl="1" w:tplc="E6CA5B74" w:tentative="1">
      <w:start w:val="1"/>
      <w:numFmt w:val="bullet"/>
      <w:lvlText w:val="•"/>
      <w:lvlJc w:val="left"/>
      <w:pPr>
        <w:tabs>
          <w:tab w:val="num" w:pos="1440"/>
        </w:tabs>
        <w:ind w:left="1440" w:hanging="360"/>
      </w:pPr>
      <w:rPr>
        <w:rFonts w:ascii="Times New Roman" w:hAnsi="Times New Roman" w:hint="default"/>
      </w:rPr>
    </w:lvl>
    <w:lvl w:ilvl="2" w:tplc="E6B0AD96" w:tentative="1">
      <w:start w:val="1"/>
      <w:numFmt w:val="bullet"/>
      <w:lvlText w:val="•"/>
      <w:lvlJc w:val="left"/>
      <w:pPr>
        <w:tabs>
          <w:tab w:val="num" w:pos="2160"/>
        </w:tabs>
        <w:ind w:left="2160" w:hanging="360"/>
      </w:pPr>
      <w:rPr>
        <w:rFonts w:ascii="Times New Roman" w:hAnsi="Times New Roman" w:hint="default"/>
      </w:rPr>
    </w:lvl>
    <w:lvl w:ilvl="3" w:tplc="D34A3D5C" w:tentative="1">
      <w:start w:val="1"/>
      <w:numFmt w:val="bullet"/>
      <w:lvlText w:val="•"/>
      <w:lvlJc w:val="left"/>
      <w:pPr>
        <w:tabs>
          <w:tab w:val="num" w:pos="2880"/>
        </w:tabs>
        <w:ind w:left="2880" w:hanging="360"/>
      </w:pPr>
      <w:rPr>
        <w:rFonts w:ascii="Times New Roman" w:hAnsi="Times New Roman" w:hint="default"/>
      </w:rPr>
    </w:lvl>
    <w:lvl w:ilvl="4" w:tplc="5A444498" w:tentative="1">
      <w:start w:val="1"/>
      <w:numFmt w:val="bullet"/>
      <w:lvlText w:val="•"/>
      <w:lvlJc w:val="left"/>
      <w:pPr>
        <w:tabs>
          <w:tab w:val="num" w:pos="3600"/>
        </w:tabs>
        <w:ind w:left="3600" w:hanging="360"/>
      </w:pPr>
      <w:rPr>
        <w:rFonts w:ascii="Times New Roman" w:hAnsi="Times New Roman" w:hint="default"/>
      </w:rPr>
    </w:lvl>
    <w:lvl w:ilvl="5" w:tplc="FB64B72E" w:tentative="1">
      <w:start w:val="1"/>
      <w:numFmt w:val="bullet"/>
      <w:lvlText w:val="•"/>
      <w:lvlJc w:val="left"/>
      <w:pPr>
        <w:tabs>
          <w:tab w:val="num" w:pos="4320"/>
        </w:tabs>
        <w:ind w:left="4320" w:hanging="360"/>
      </w:pPr>
      <w:rPr>
        <w:rFonts w:ascii="Times New Roman" w:hAnsi="Times New Roman" w:hint="default"/>
      </w:rPr>
    </w:lvl>
    <w:lvl w:ilvl="6" w:tplc="E43A2A66" w:tentative="1">
      <w:start w:val="1"/>
      <w:numFmt w:val="bullet"/>
      <w:lvlText w:val="•"/>
      <w:lvlJc w:val="left"/>
      <w:pPr>
        <w:tabs>
          <w:tab w:val="num" w:pos="5040"/>
        </w:tabs>
        <w:ind w:left="5040" w:hanging="360"/>
      </w:pPr>
      <w:rPr>
        <w:rFonts w:ascii="Times New Roman" w:hAnsi="Times New Roman" w:hint="default"/>
      </w:rPr>
    </w:lvl>
    <w:lvl w:ilvl="7" w:tplc="D7D6E7C6" w:tentative="1">
      <w:start w:val="1"/>
      <w:numFmt w:val="bullet"/>
      <w:lvlText w:val="•"/>
      <w:lvlJc w:val="left"/>
      <w:pPr>
        <w:tabs>
          <w:tab w:val="num" w:pos="5760"/>
        </w:tabs>
        <w:ind w:left="5760" w:hanging="360"/>
      </w:pPr>
      <w:rPr>
        <w:rFonts w:ascii="Times New Roman" w:hAnsi="Times New Roman" w:hint="default"/>
      </w:rPr>
    </w:lvl>
    <w:lvl w:ilvl="8" w:tplc="448E90C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EC629F7"/>
    <w:multiLevelType w:val="hybridMultilevel"/>
    <w:tmpl w:val="697E7DE8"/>
    <w:lvl w:ilvl="0" w:tplc="D096C4A2">
      <w:start w:val="1"/>
      <w:numFmt w:val="bullet"/>
      <w:lvlText w:val="•"/>
      <w:lvlJc w:val="left"/>
      <w:pPr>
        <w:tabs>
          <w:tab w:val="num" w:pos="720"/>
        </w:tabs>
        <w:ind w:left="720" w:hanging="360"/>
      </w:pPr>
      <w:rPr>
        <w:rFonts w:ascii="Arial" w:hAnsi="Arial" w:hint="default"/>
      </w:rPr>
    </w:lvl>
    <w:lvl w:ilvl="1" w:tplc="01E4D0BE">
      <w:start w:val="1"/>
      <w:numFmt w:val="bullet"/>
      <w:lvlText w:val="•"/>
      <w:lvlJc w:val="left"/>
      <w:pPr>
        <w:tabs>
          <w:tab w:val="num" w:pos="1440"/>
        </w:tabs>
        <w:ind w:left="1440" w:hanging="360"/>
      </w:pPr>
      <w:rPr>
        <w:rFonts w:ascii="Arial" w:hAnsi="Arial" w:hint="default"/>
      </w:rPr>
    </w:lvl>
    <w:lvl w:ilvl="2" w:tplc="8C145918" w:tentative="1">
      <w:start w:val="1"/>
      <w:numFmt w:val="bullet"/>
      <w:lvlText w:val="•"/>
      <w:lvlJc w:val="left"/>
      <w:pPr>
        <w:tabs>
          <w:tab w:val="num" w:pos="2160"/>
        </w:tabs>
        <w:ind w:left="2160" w:hanging="360"/>
      </w:pPr>
      <w:rPr>
        <w:rFonts w:ascii="Arial" w:hAnsi="Arial" w:hint="default"/>
      </w:rPr>
    </w:lvl>
    <w:lvl w:ilvl="3" w:tplc="6632F2B8" w:tentative="1">
      <w:start w:val="1"/>
      <w:numFmt w:val="bullet"/>
      <w:lvlText w:val="•"/>
      <w:lvlJc w:val="left"/>
      <w:pPr>
        <w:tabs>
          <w:tab w:val="num" w:pos="2880"/>
        </w:tabs>
        <w:ind w:left="2880" w:hanging="360"/>
      </w:pPr>
      <w:rPr>
        <w:rFonts w:ascii="Arial" w:hAnsi="Arial" w:hint="default"/>
      </w:rPr>
    </w:lvl>
    <w:lvl w:ilvl="4" w:tplc="2374A264" w:tentative="1">
      <w:start w:val="1"/>
      <w:numFmt w:val="bullet"/>
      <w:lvlText w:val="•"/>
      <w:lvlJc w:val="left"/>
      <w:pPr>
        <w:tabs>
          <w:tab w:val="num" w:pos="3600"/>
        </w:tabs>
        <w:ind w:left="3600" w:hanging="360"/>
      </w:pPr>
      <w:rPr>
        <w:rFonts w:ascii="Arial" w:hAnsi="Arial" w:hint="default"/>
      </w:rPr>
    </w:lvl>
    <w:lvl w:ilvl="5" w:tplc="7A72CD10" w:tentative="1">
      <w:start w:val="1"/>
      <w:numFmt w:val="bullet"/>
      <w:lvlText w:val="•"/>
      <w:lvlJc w:val="left"/>
      <w:pPr>
        <w:tabs>
          <w:tab w:val="num" w:pos="4320"/>
        </w:tabs>
        <w:ind w:left="4320" w:hanging="360"/>
      </w:pPr>
      <w:rPr>
        <w:rFonts w:ascii="Arial" w:hAnsi="Arial" w:hint="default"/>
      </w:rPr>
    </w:lvl>
    <w:lvl w:ilvl="6" w:tplc="5DF60798" w:tentative="1">
      <w:start w:val="1"/>
      <w:numFmt w:val="bullet"/>
      <w:lvlText w:val="•"/>
      <w:lvlJc w:val="left"/>
      <w:pPr>
        <w:tabs>
          <w:tab w:val="num" w:pos="5040"/>
        </w:tabs>
        <w:ind w:left="5040" w:hanging="360"/>
      </w:pPr>
      <w:rPr>
        <w:rFonts w:ascii="Arial" w:hAnsi="Arial" w:hint="default"/>
      </w:rPr>
    </w:lvl>
    <w:lvl w:ilvl="7" w:tplc="988A8F98" w:tentative="1">
      <w:start w:val="1"/>
      <w:numFmt w:val="bullet"/>
      <w:lvlText w:val="•"/>
      <w:lvlJc w:val="left"/>
      <w:pPr>
        <w:tabs>
          <w:tab w:val="num" w:pos="5760"/>
        </w:tabs>
        <w:ind w:left="5760" w:hanging="360"/>
      </w:pPr>
      <w:rPr>
        <w:rFonts w:ascii="Arial" w:hAnsi="Arial" w:hint="default"/>
      </w:rPr>
    </w:lvl>
    <w:lvl w:ilvl="8" w:tplc="4E686A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E1408E"/>
    <w:multiLevelType w:val="hybridMultilevel"/>
    <w:tmpl w:val="6EFA1088"/>
    <w:lvl w:ilvl="0" w:tplc="86E4573C">
      <w:start w:val="1"/>
      <w:numFmt w:val="bullet"/>
      <w:lvlText w:val="•"/>
      <w:lvlJc w:val="left"/>
      <w:pPr>
        <w:tabs>
          <w:tab w:val="num" w:pos="720"/>
        </w:tabs>
        <w:ind w:left="720" w:hanging="360"/>
      </w:pPr>
      <w:rPr>
        <w:rFonts w:ascii="Times New Roman" w:hAnsi="Times New Roman" w:hint="default"/>
      </w:rPr>
    </w:lvl>
    <w:lvl w:ilvl="1" w:tplc="1E8ADC3A">
      <w:start w:val="1"/>
      <w:numFmt w:val="bullet"/>
      <w:lvlText w:val="•"/>
      <w:lvlJc w:val="left"/>
      <w:pPr>
        <w:tabs>
          <w:tab w:val="num" w:pos="1440"/>
        </w:tabs>
        <w:ind w:left="1440" w:hanging="360"/>
      </w:pPr>
      <w:rPr>
        <w:rFonts w:ascii="Times New Roman" w:hAnsi="Times New Roman" w:hint="default"/>
      </w:rPr>
    </w:lvl>
    <w:lvl w:ilvl="2" w:tplc="49108050" w:tentative="1">
      <w:start w:val="1"/>
      <w:numFmt w:val="bullet"/>
      <w:lvlText w:val="•"/>
      <w:lvlJc w:val="left"/>
      <w:pPr>
        <w:tabs>
          <w:tab w:val="num" w:pos="2160"/>
        </w:tabs>
        <w:ind w:left="2160" w:hanging="360"/>
      </w:pPr>
      <w:rPr>
        <w:rFonts w:ascii="Times New Roman" w:hAnsi="Times New Roman" w:hint="default"/>
      </w:rPr>
    </w:lvl>
    <w:lvl w:ilvl="3" w:tplc="0570005E" w:tentative="1">
      <w:start w:val="1"/>
      <w:numFmt w:val="bullet"/>
      <w:lvlText w:val="•"/>
      <w:lvlJc w:val="left"/>
      <w:pPr>
        <w:tabs>
          <w:tab w:val="num" w:pos="2880"/>
        </w:tabs>
        <w:ind w:left="2880" w:hanging="360"/>
      </w:pPr>
      <w:rPr>
        <w:rFonts w:ascii="Times New Roman" w:hAnsi="Times New Roman" w:hint="default"/>
      </w:rPr>
    </w:lvl>
    <w:lvl w:ilvl="4" w:tplc="810E7400" w:tentative="1">
      <w:start w:val="1"/>
      <w:numFmt w:val="bullet"/>
      <w:lvlText w:val="•"/>
      <w:lvlJc w:val="left"/>
      <w:pPr>
        <w:tabs>
          <w:tab w:val="num" w:pos="3600"/>
        </w:tabs>
        <w:ind w:left="3600" w:hanging="360"/>
      </w:pPr>
      <w:rPr>
        <w:rFonts w:ascii="Times New Roman" w:hAnsi="Times New Roman" w:hint="default"/>
      </w:rPr>
    </w:lvl>
    <w:lvl w:ilvl="5" w:tplc="7D606BFE" w:tentative="1">
      <w:start w:val="1"/>
      <w:numFmt w:val="bullet"/>
      <w:lvlText w:val="•"/>
      <w:lvlJc w:val="left"/>
      <w:pPr>
        <w:tabs>
          <w:tab w:val="num" w:pos="4320"/>
        </w:tabs>
        <w:ind w:left="4320" w:hanging="360"/>
      </w:pPr>
      <w:rPr>
        <w:rFonts w:ascii="Times New Roman" w:hAnsi="Times New Roman" w:hint="default"/>
      </w:rPr>
    </w:lvl>
    <w:lvl w:ilvl="6" w:tplc="5DB0B2A0" w:tentative="1">
      <w:start w:val="1"/>
      <w:numFmt w:val="bullet"/>
      <w:lvlText w:val="•"/>
      <w:lvlJc w:val="left"/>
      <w:pPr>
        <w:tabs>
          <w:tab w:val="num" w:pos="5040"/>
        </w:tabs>
        <w:ind w:left="5040" w:hanging="360"/>
      </w:pPr>
      <w:rPr>
        <w:rFonts w:ascii="Times New Roman" w:hAnsi="Times New Roman" w:hint="default"/>
      </w:rPr>
    </w:lvl>
    <w:lvl w:ilvl="7" w:tplc="1DFCC8D0" w:tentative="1">
      <w:start w:val="1"/>
      <w:numFmt w:val="bullet"/>
      <w:lvlText w:val="•"/>
      <w:lvlJc w:val="left"/>
      <w:pPr>
        <w:tabs>
          <w:tab w:val="num" w:pos="5760"/>
        </w:tabs>
        <w:ind w:left="5760" w:hanging="360"/>
      </w:pPr>
      <w:rPr>
        <w:rFonts w:ascii="Times New Roman" w:hAnsi="Times New Roman" w:hint="default"/>
      </w:rPr>
    </w:lvl>
    <w:lvl w:ilvl="8" w:tplc="7162484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60864EC"/>
    <w:multiLevelType w:val="hybridMultilevel"/>
    <w:tmpl w:val="5D3424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52F6B"/>
    <w:multiLevelType w:val="hybridMultilevel"/>
    <w:tmpl w:val="B22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E2377"/>
    <w:multiLevelType w:val="hybridMultilevel"/>
    <w:tmpl w:val="82E2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6117D8"/>
    <w:multiLevelType w:val="hybridMultilevel"/>
    <w:tmpl w:val="C6FE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F0016"/>
    <w:multiLevelType w:val="hybridMultilevel"/>
    <w:tmpl w:val="E0442448"/>
    <w:lvl w:ilvl="0" w:tplc="3A2635C0">
      <w:start w:val="1"/>
      <w:numFmt w:val="bullet"/>
      <w:lvlText w:val="•"/>
      <w:lvlJc w:val="left"/>
      <w:pPr>
        <w:tabs>
          <w:tab w:val="num" w:pos="720"/>
        </w:tabs>
        <w:ind w:left="720" w:hanging="360"/>
      </w:pPr>
      <w:rPr>
        <w:rFonts w:ascii="Times New Roman" w:hAnsi="Times New Roman" w:hint="default"/>
      </w:rPr>
    </w:lvl>
    <w:lvl w:ilvl="1" w:tplc="5E8ED222" w:tentative="1">
      <w:start w:val="1"/>
      <w:numFmt w:val="bullet"/>
      <w:lvlText w:val="•"/>
      <w:lvlJc w:val="left"/>
      <w:pPr>
        <w:tabs>
          <w:tab w:val="num" w:pos="1440"/>
        </w:tabs>
        <w:ind w:left="1440" w:hanging="360"/>
      </w:pPr>
      <w:rPr>
        <w:rFonts w:ascii="Times New Roman" w:hAnsi="Times New Roman" w:hint="default"/>
      </w:rPr>
    </w:lvl>
    <w:lvl w:ilvl="2" w:tplc="150E0E50" w:tentative="1">
      <w:start w:val="1"/>
      <w:numFmt w:val="bullet"/>
      <w:lvlText w:val="•"/>
      <w:lvlJc w:val="left"/>
      <w:pPr>
        <w:tabs>
          <w:tab w:val="num" w:pos="2160"/>
        </w:tabs>
        <w:ind w:left="2160" w:hanging="360"/>
      </w:pPr>
      <w:rPr>
        <w:rFonts w:ascii="Times New Roman" w:hAnsi="Times New Roman" w:hint="default"/>
      </w:rPr>
    </w:lvl>
    <w:lvl w:ilvl="3" w:tplc="8572F818" w:tentative="1">
      <w:start w:val="1"/>
      <w:numFmt w:val="bullet"/>
      <w:lvlText w:val="•"/>
      <w:lvlJc w:val="left"/>
      <w:pPr>
        <w:tabs>
          <w:tab w:val="num" w:pos="2880"/>
        </w:tabs>
        <w:ind w:left="2880" w:hanging="360"/>
      </w:pPr>
      <w:rPr>
        <w:rFonts w:ascii="Times New Roman" w:hAnsi="Times New Roman" w:hint="default"/>
      </w:rPr>
    </w:lvl>
    <w:lvl w:ilvl="4" w:tplc="48787A3A" w:tentative="1">
      <w:start w:val="1"/>
      <w:numFmt w:val="bullet"/>
      <w:lvlText w:val="•"/>
      <w:lvlJc w:val="left"/>
      <w:pPr>
        <w:tabs>
          <w:tab w:val="num" w:pos="3600"/>
        </w:tabs>
        <w:ind w:left="3600" w:hanging="360"/>
      </w:pPr>
      <w:rPr>
        <w:rFonts w:ascii="Times New Roman" w:hAnsi="Times New Roman" w:hint="default"/>
      </w:rPr>
    </w:lvl>
    <w:lvl w:ilvl="5" w:tplc="7F6E0DAA" w:tentative="1">
      <w:start w:val="1"/>
      <w:numFmt w:val="bullet"/>
      <w:lvlText w:val="•"/>
      <w:lvlJc w:val="left"/>
      <w:pPr>
        <w:tabs>
          <w:tab w:val="num" w:pos="4320"/>
        </w:tabs>
        <w:ind w:left="4320" w:hanging="360"/>
      </w:pPr>
      <w:rPr>
        <w:rFonts w:ascii="Times New Roman" w:hAnsi="Times New Roman" w:hint="default"/>
      </w:rPr>
    </w:lvl>
    <w:lvl w:ilvl="6" w:tplc="A93258E6" w:tentative="1">
      <w:start w:val="1"/>
      <w:numFmt w:val="bullet"/>
      <w:lvlText w:val="•"/>
      <w:lvlJc w:val="left"/>
      <w:pPr>
        <w:tabs>
          <w:tab w:val="num" w:pos="5040"/>
        </w:tabs>
        <w:ind w:left="5040" w:hanging="360"/>
      </w:pPr>
      <w:rPr>
        <w:rFonts w:ascii="Times New Roman" w:hAnsi="Times New Roman" w:hint="default"/>
      </w:rPr>
    </w:lvl>
    <w:lvl w:ilvl="7" w:tplc="DE08778C" w:tentative="1">
      <w:start w:val="1"/>
      <w:numFmt w:val="bullet"/>
      <w:lvlText w:val="•"/>
      <w:lvlJc w:val="left"/>
      <w:pPr>
        <w:tabs>
          <w:tab w:val="num" w:pos="5760"/>
        </w:tabs>
        <w:ind w:left="5760" w:hanging="360"/>
      </w:pPr>
      <w:rPr>
        <w:rFonts w:ascii="Times New Roman" w:hAnsi="Times New Roman" w:hint="default"/>
      </w:rPr>
    </w:lvl>
    <w:lvl w:ilvl="8" w:tplc="D3D2DA5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5B16388"/>
    <w:multiLevelType w:val="hybridMultilevel"/>
    <w:tmpl w:val="60D6477E"/>
    <w:lvl w:ilvl="0" w:tplc="30F8F48E">
      <w:start w:val="1"/>
      <w:numFmt w:val="bullet"/>
      <w:lvlText w:val="•"/>
      <w:lvlJc w:val="left"/>
      <w:pPr>
        <w:tabs>
          <w:tab w:val="num" w:pos="720"/>
        </w:tabs>
        <w:ind w:left="720" w:hanging="360"/>
      </w:pPr>
      <w:rPr>
        <w:rFonts w:ascii="Times New Roman" w:hAnsi="Times New Roman" w:hint="default"/>
      </w:rPr>
    </w:lvl>
    <w:lvl w:ilvl="1" w:tplc="946EA5F6">
      <w:start w:val="1"/>
      <w:numFmt w:val="bullet"/>
      <w:lvlText w:val="•"/>
      <w:lvlJc w:val="left"/>
      <w:pPr>
        <w:tabs>
          <w:tab w:val="num" w:pos="1440"/>
        </w:tabs>
        <w:ind w:left="1440" w:hanging="360"/>
      </w:pPr>
      <w:rPr>
        <w:rFonts w:ascii="Times New Roman" w:hAnsi="Times New Roman" w:hint="default"/>
      </w:rPr>
    </w:lvl>
    <w:lvl w:ilvl="2" w:tplc="6B728808" w:tentative="1">
      <w:start w:val="1"/>
      <w:numFmt w:val="bullet"/>
      <w:lvlText w:val="•"/>
      <w:lvlJc w:val="left"/>
      <w:pPr>
        <w:tabs>
          <w:tab w:val="num" w:pos="2160"/>
        </w:tabs>
        <w:ind w:left="2160" w:hanging="360"/>
      </w:pPr>
      <w:rPr>
        <w:rFonts w:ascii="Times New Roman" w:hAnsi="Times New Roman" w:hint="default"/>
      </w:rPr>
    </w:lvl>
    <w:lvl w:ilvl="3" w:tplc="0D9A432A" w:tentative="1">
      <w:start w:val="1"/>
      <w:numFmt w:val="bullet"/>
      <w:lvlText w:val="•"/>
      <w:lvlJc w:val="left"/>
      <w:pPr>
        <w:tabs>
          <w:tab w:val="num" w:pos="2880"/>
        </w:tabs>
        <w:ind w:left="2880" w:hanging="360"/>
      </w:pPr>
      <w:rPr>
        <w:rFonts w:ascii="Times New Roman" w:hAnsi="Times New Roman" w:hint="default"/>
      </w:rPr>
    </w:lvl>
    <w:lvl w:ilvl="4" w:tplc="100AB50A" w:tentative="1">
      <w:start w:val="1"/>
      <w:numFmt w:val="bullet"/>
      <w:lvlText w:val="•"/>
      <w:lvlJc w:val="left"/>
      <w:pPr>
        <w:tabs>
          <w:tab w:val="num" w:pos="3600"/>
        </w:tabs>
        <w:ind w:left="3600" w:hanging="360"/>
      </w:pPr>
      <w:rPr>
        <w:rFonts w:ascii="Times New Roman" w:hAnsi="Times New Roman" w:hint="default"/>
      </w:rPr>
    </w:lvl>
    <w:lvl w:ilvl="5" w:tplc="EA30D22C" w:tentative="1">
      <w:start w:val="1"/>
      <w:numFmt w:val="bullet"/>
      <w:lvlText w:val="•"/>
      <w:lvlJc w:val="left"/>
      <w:pPr>
        <w:tabs>
          <w:tab w:val="num" w:pos="4320"/>
        </w:tabs>
        <w:ind w:left="4320" w:hanging="360"/>
      </w:pPr>
      <w:rPr>
        <w:rFonts w:ascii="Times New Roman" w:hAnsi="Times New Roman" w:hint="default"/>
      </w:rPr>
    </w:lvl>
    <w:lvl w:ilvl="6" w:tplc="8196D91E" w:tentative="1">
      <w:start w:val="1"/>
      <w:numFmt w:val="bullet"/>
      <w:lvlText w:val="•"/>
      <w:lvlJc w:val="left"/>
      <w:pPr>
        <w:tabs>
          <w:tab w:val="num" w:pos="5040"/>
        </w:tabs>
        <w:ind w:left="5040" w:hanging="360"/>
      </w:pPr>
      <w:rPr>
        <w:rFonts w:ascii="Times New Roman" w:hAnsi="Times New Roman" w:hint="default"/>
      </w:rPr>
    </w:lvl>
    <w:lvl w:ilvl="7" w:tplc="02AE42B4" w:tentative="1">
      <w:start w:val="1"/>
      <w:numFmt w:val="bullet"/>
      <w:lvlText w:val="•"/>
      <w:lvlJc w:val="left"/>
      <w:pPr>
        <w:tabs>
          <w:tab w:val="num" w:pos="5760"/>
        </w:tabs>
        <w:ind w:left="5760" w:hanging="360"/>
      </w:pPr>
      <w:rPr>
        <w:rFonts w:ascii="Times New Roman" w:hAnsi="Times New Roman" w:hint="default"/>
      </w:rPr>
    </w:lvl>
    <w:lvl w:ilvl="8" w:tplc="753E492E"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0"/>
  </w:num>
  <w:num w:numId="3">
    <w:abstractNumId w:val="4"/>
  </w:num>
  <w:num w:numId="4">
    <w:abstractNumId w:val="3"/>
  </w:num>
  <w:num w:numId="5">
    <w:abstractNumId w:val="10"/>
  </w:num>
  <w:num w:numId="6">
    <w:abstractNumId w:val="5"/>
  </w:num>
  <w:num w:numId="7">
    <w:abstractNumId w:val="11"/>
  </w:num>
  <w:num w:numId="8">
    <w:abstractNumId w:val="9"/>
  </w:num>
  <w:num w:numId="9">
    <w:abstractNumId w:val="2"/>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4E"/>
    <w:rsid w:val="00000D60"/>
    <w:rsid w:val="000039E5"/>
    <w:rsid w:val="00005692"/>
    <w:rsid w:val="000108CB"/>
    <w:rsid w:val="0001186F"/>
    <w:rsid w:val="00014BAA"/>
    <w:rsid w:val="00016DE2"/>
    <w:rsid w:val="00016F45"/>
    <w:rsid w:val="00017FD5"/>
    <w:rsid w:val="00020763"/>
    <w:rsid w:val="00021A8A"/>
    <w:rsid w:val="00025521"/>
    <w:rsid w:val="00025830"/>
    <w:rsid w:val="000259AC"/>
    <w:rsid w:val="000340AB"/>
    <w:rsid w:val="000347AD"/>
    <w:rsid w:val="00036F3E"/>
    <w:rsid w:val="00041F39"/>
    <w:rsid w:val="0004336F"/>
    <w:rsid w:val="00046052"/>
    <w:rsid w:val="00050CD2"/>
    <w:rsid w:val="00053728"/>
    <w:rsid w:val="00055AEE"/>
    <w:rsid w:val="0006491F"/>
    <w:rsid w:val="00067063"/>
    <w:rsid w:val="00070E80"/>
    <w:rsid w:val="00071BBE"/>
    <w:rsid w:val="00073BA1"/>
    <w:rsid w:val="000840EA"/>
    <w:rsid w:val="00085908"/>
    <w:rsid w:val="00095E5F"/>
    <w:rsid w:val="000A2D55"/>
    <w:rsid w:val="000A329D"/>
    <w:rsid w:val="000A53F6"/>
    <w:rsid w:val="000B165A"/>
    <w:rsid w:val="000B2144"/>
    <w:rsid w:val="000B72A3"/>
    <w:rsid w:val="000C50FF"/>
    <w:rsid w:val="000C6FB9"/>
    <w:rsid w:val="000C7CD1"/>
    <w:rsid w:val="000D21F4"/>
    <w:rsid w:val="000D2F09"/>
    <w:rsid w:val="000D31F4"/>
    <w:rsid w:val="000F6FA7"/>
    <w:rsid w:val="00105746"/>
    <w:rsid w:val="001057BA"/>
    <w:rsid w:val="00105E6F"/>
    <w:rsid w:val="00106273"/>
    <w:rsid w:val="00110F5F"/>
    <w:rsid w:val="001117E6"/>
    <w:rsid w:val="00112155"/>
    <w:rsid w:val="00113096"/>
    <w:rsid w:val="0011425E"/>
    <w:rsid w:val="001165A9"/>
    <w:rsid w:val="00116C96"/>
    <w:rsid w:val="00124289"/>
    <w:rsid w:val="00124581"/>
    <w:rsid w:val="00135D7F"/>
    <w:rsid w:val="00136B8E"/>
    <w:rsid w:val="00137ABC"/>
    <w:rsid w:val="001402A7"/>
    <w:rsid w:val="001403AF"/>
    <w:rsid w:val="001406D2"/>
    <w:rsid w:val="001438DF"/>
    <w:rsid w:val="00146031"/>
    <w:rsid w:val="00156446"/>
    <w:rsid w:val="00157483"/>
    <w:rsid w:val="00166131"/>
    <w:rsid w:val="001672CE"/>
    <w:rsid w:val="00167B43"/>
    <w:rsid w:val="00171246"/>
    <w:rsid w:val="00171D8C"/>
    <w:rsid w:val="00175B1F"/>
    <w:rsid w:val="00177B36"/>
    <w:rsid w:val="00184C33"/>
    <w:rsid w:val="001855B0"/>
    <w:rsid w:val="00196463"/>
    <w:rsid w:val="00196BB4"/>
    <w:rsid w:val="001A1E71"/>
    <w:rsid w:val="001B4FF8"/>
    <w:rsid w:val="001C25D8"/>
    <w:rsid w:val="001D056B"/>
    <w:rsid w:val="001D362E"/>
    <w:rsid w:val="001D789E"/>
    <w:rsid w:val="001E08C9"/>
    <w:rsid w:val="001F12EB"/>
    <w:rsid w:val="001F43FA"/>
    <w:rsid w:val="001F63DD"/>
    <w:rsid w:val="002012DF"/>
    <w:rsid w:val="00210CCA"/>
    <w:rsid w:val="00211DA2"/>
    <w:rsid w:val="002123D8"/>
    <w:rsid w:val="00213FE1"/>
    <w:rsid w:val="0021794E"/>
    <w:rsid w:val="002237B3"/>
    <w:rsid w:val="00231D15"/>
    <w:rsid w:val="0023493F"/>
    <w:rsid w:val="00236FA0"/>
    <w:rsid w:val="00240A48"/>
    <w:rsid w:val="00242A76"/>
    <w:rsid w:val="00245901"/>
    <w:rsid w:val="00246BDE"/>
    <w:rsid w:val="00246DE0"/>
    <w:rsid w:val="0024727F"/>
    <w:rsid w:val="00252BD3"/>
    <w:rsid w:val="002545E1"/>
    <w:rsid w:val="00256CDD"/>
    <w:rsid w:val="00256DC0"/>
    <w:rsid w:val="0025708C"/>
    <w:rsid w:val="00264711"/>
    <w:rsid w:val="00266632"/>
    <w:rsid w:val="002701DD"/>
    <w:rsid w:val="002848D5"/>
    <w:rsid w:val="00284D72"/>
    <w:rsid w:val="002858A9"/>
    <w:rsid w:val="00291845"/>
    <w:rsid w:val="00294B30"/>
    <w:rsid w:val="00296181"/>
    <w:rsid w:val="002A73E7"/>
    <w:rsid w:val="002B30DC"/>
    <w:rsid w:val="002C1293"/>
    <w:rsid w:val="002C1951"/>
    <w:rsid w:val="002C36EE"/>
    <w:rsid w:val="002C4015"/>
    <w:rsid w:val="002C63F8"/>
    <w:rsid w:val="002D0C46"/>
    <w:rsid w:val="002E7EEA"/>
    <w:rsid w:val="002F1D30"/>
    <w:rsid w:val="002F2B7B"/>
    <w:rsid w:val="003005B5"/>
    <w:rsid w:val="00306A59"/>
    <w:rsid w:val="003074C7"/>
    <w:rsid w:val="00310D21"/>
    <w:rsid w:val="00311105"/>
    <w:rsid w:val="00314893"/>
    <w:rsid w:val="00316071"/>
    <w:rsid w:val="00316BF4"/>
    <w:rsid w:val="00316EE2"/>
    <w:rsid w:val="00321D98"/>
    <w:rsid w:val="00326A68"/>
    <w:rsid w:val="00326C3E"/>
    <w:rsid w:val="00326E31"/>
    <w:rsid w:val="00331691"/>
    <w:rsid w:val="00332C13"/>
    <w:rsid w:val="00337BD2"/>
    <w:rsid w:val="00337DCB"/>
    <w:rsid w:val="0034034E"/>
    <w:rsid w:val="00343909"/>
    <w:rsid w:val="003471B7"/>
    <w:rsid w:val="00351982"/>
    <w:rsid w:val="00351CA0"/>
    <w:rsid w:val="00351E63"/>
    <w:rsid w:val="00352B89"/>
    <w:rsid w:val="00353CB0"/>
    <w:rsid w:val="00355816"/>
    <w:rsid w:val="00355969"/>
    <w:rsid w:val="00355DB5"/>
    <w:rsid w:val="0035658A"/>
    <w:rsid w:val="00363E69"/>
    <w:rsid w:val="00365704"/>
    <w:rsid w:val="003675EA"/>
    <w:rsid w:val="003755EA"/>
    <w:rsid w:val="003812BC"/>
    <w:rsid w:val="00382A37"/>
    <w:rsid w:val="00392C8A"/>
    <w:rsid w:val="00393569"/>
    <w:rsid w:val="003961ED"/>
    <w:rsid w:val="00396E74"/>
    <w:rsid w:val="003A0566"/>
    <w:rsid w:val="003A1788"/>
    <w:rsid w:val="003A47A4"/>
    <w:rsid w:val="003B30C0"/>
    <w:rsid w:val="003B3FE2"/>
    <w:rsid w:val="003B44D1"/>
    <w:rsid w:val="003B5868"/>
    <w:rsid w:val="003C0154"/>
    <w:rsid w:val="003C1C5B"/>
    <w:rsid w:val="003C3B42"/>
    <w:rsid w:val="003C5BA0"/>
    <w:rsid w:val="003C6403"/>
    <w:rsid w:val="003C7913"/>
    <w:rsid w:val="003D0AB5"/>
    <w:rsid w:val="003D3676"/>
    <w:rsid w:val="003D751F"/>
    <w:rsid w:val="003E5493"/>
    <w:rsid w:val="003E56EC"/>
    <w:rsid w:val="003F77C2"/>
    <w:rsid w:val="00406180"/>
    <w:rsid w:val="00406192"/>
    <w:rsid w:val="00415EB7"/>
    <w:rsid w:val="0041680E"/>
    <w:rsid w:val="004218B2"/>
    <w:rsid w:val="0043071B"/>
    <w:rsid w:val="00440E14"/>
    <w:rsid w:val="00441C31"/>
    <w:rsid w:val="0044739C"/>
    <w:rsid w:val="004477F3"/>
    <w:rsid w:val="00454AFB"/>
    <w:rsid w:val="0045723B"/>
    <w:rsid w:val="00461CB3"/>
    <w:rsid w:val="00462E90"/>
    <w:rsid w:val="004706D2"/>
    <w:rsid w:val="00472791"/>
    <w:rsid w:val="004738B0"/>
    <w:rsid w:val="00473A27"/>
    <w:rsid w:val="00494ECB"/>
    <w:rsid w:val="00497A77"/>
    <w:rsid w:val="004A35A1"/>
    <w:rsid w:val="004A5832"/>
    <w:rsid w:val="004A711A"/>
    <w:rsid w:val="004A7E38"/>
    <w:rsid w:val="004A7FD9"/>
    <w:rsid w:val="004B2227"/>
    <w:rsid w:val="004B457E"/>
    <w:rsid w:val="004B78FA"/>
    <w:rsid w:val="004C0658"/>
    <w:rsid w:val="004C1BED"/>
    <w:rsid w:val="004C214F"/>
    <w:rsid w:val="004C3CBB"/>
    <w:rsid w:val="004D05B1"/>
    <w:rsid w:val="004D0647"/>
    <w:rsid w:val="004D2CA3"/>
    <w:rsid w:val="004D4F3C"/>
    <w:rsid w:val="004D637E"/>
    <w:rsid w:val="004E4645"/>
    <w:rsid w:val="004F0D7F"/>
    <w:rsid w:val="004F122E"/>
    <w:rsid w:val="004F1379"/>
    <w:rsid w:val="004F2A59"/>
    <w:rsid w:val="004F2E61"/>
    <w:rsid w:val="004F6D27"/>
    <w:rsid w:val="005003B0"/>
    <w:rsid w:val="005102B0"/>
    <w:rsid w:val="00512DCE"/>
    <w:rsid w:val="0051439C"/>
    <w:rsid w:val="00514CC3"/>
    <w:rsid w:val="00524BDB"/>
    <w:rsid w:val="00525122"/>
    <w:rsid w:val="005256D5"/>
    <w:rsid w:val="00534F09"/>
    <w:rsid w:val="0053576C"/>
    <w:rsid w:val="00541F3E"/>
    <w:rsid w:val="005455C4"/>
    <w:rsid w:val="00545B4E"/>
    <w:rsid w:val="00552917"/>
    <w:rsid w:val="00555FB8"/>
    <w:rsid w:val="0056004D"/>
    <w:rsid w:val="005643E1"/>
    <w:rsid w:val="00564F61"/>
    <w:rsid w:val="00567EDD"/>
    <w:rsid w:val="00574DF1"/>
    <w:rsid w:val="005806FF"/>
    <w:rsid w:val="00580B04"/>
    <w:rsid w:val="0058102B"/>
    <w:rsid w:val="0058183E"/>
    <w:rsid w:val="00584628"/>
    <w:rsid w:val="00596A26"/>
    <w:rsid w:val="005A1938"/>
    <w:rsid w:val="005B3B74"/>
    <w:rsid w:val="005C03C3"/>
    <w:rsid w:val="005C16C9"/>
    <w:rsid w:val="005C5820"/>
    <w:rsid w:val="005C6E35"/>
    <w:rsid w:val="005D0E36"/>
    <w:rsid w:val="005D1A24"/>
    <w:rsid w:val="005D2E8E"/>
    <w:rsid w:val="005E1BC5"/>
    <w:rsid w:val="005E2BC6"/>
    <w:rsid w:val="005F035D"/>
    <w:rsid w:val="005F1374"/>
    <w:rsid w:val="00607567"/>
    <w:rsid w:val="0060789E"/>
    <w:rsid w:val="00610704"/>
    <w:rsid w:val="00612973"/>
    <w:rsid w:val="006203BF"/>
    <w:rsid w:val="00623865"/>
    <w:rsid w:val="00645644"/>
    <w:rsid w:val="00652BC7"/>
    <w:rsid w:val="006543C4"/>
    <w:rsid w:val="00672398"/>
    <w:rsid w:val="00674E28"/>
    <w:rsid w:val="006829E1"/>
    <w:rsid w:val="00682BD4"/>
    <w:rsid w:val="006A3731"/>
    <w:rsid w:val="006A4FB3"/>
    <w:rsid w:val="006A75F8"/>
    <w:rsid w:val="006B2052"/>
    <w:rsid w:val="006B67E9"/>
    <w:rsid w:val="006C0079"/>
    <w:rsid w:val="006C141B"/>
    <w:rsid w:val="006E0578"/>
    <w:rsid w:val="006E0AEE"/>
    <w:rsid w:val="006E2545"/>
    <w:rsid w:val="00700031"/>
    <w:rsid w:val="007004E0"/>
    <w:rsid w:val="00703EB8"/>
    <w:rsid w:val="0070539D"/>
    <w:rsid w:val="00707B74"/>
    <w:rsid w:val="0072030F"/>
    <w:rsid w:val="007208C1"/>
    <w:rsid w:val="00724AD7"/>
    <w:rsid w:val="00725BB0"/>
    <w:rsid w:val="0073315E"/>
    <w:rsid w:val="00734DDD"/>
    <w:rsid w:val="00742877"/>
    <w:rsid w:val="00751FDD"/>
    <w:rsid w:val="00753638"/>
    <w:rsid w:val="007556D8"/>
    <w:rsid w:val="00756A94"/>
    <w:rsid w:val="00757F6C"/>
    <w:rsid w:val="007603C7"/>
    <w:rsid w:val="007618B0"/>
    <w:rsid w:val="00766DAC"/>
    <w:rsid w:val="00786B2A"/>
    <w:rsid w:val="00787560"/>
    <w:rsid w:val="00791A9A"/>
    <w:rsid w:val="00794B53"/>
    <w:rsid w:val="007976F3"/>
    <w:rsid w:val="007A162E"/>
    <w:rsid w:val="007A196A"/>
    <w:rsid w:val="007A3B15"/>
    <w:rsid w:val="007B5539"/>
    <w:rsid w:val="007C2845"/>
    <w:rsid w:val="007C528B"/>
    <w:rsid w:val="007C6502"/>
    <w:rsid w:val="007C7249"/>
    <w:rsid w:val="007C727A"/>
    <w:rsid w:val="007D0201"/>
    <w:rsid w:val="007D2571"/>
    <w:rsid w:val="007D27DB"/>
    <w:rsid w:val="007D4272"/>
    <w:rsid w:val="007E385C"/>
    <w:rsid w:val="008030BB"/>
    <w:rsid w:val="00803822"/>
    <w:rsid w:val="0080793E"/>
    <w:rsid w:val="008105BF"/>
    <w:rsid w:val="00811588"/>
    <w:rsid w:val="00814E1C"/>
    <w:rsid w:val="0081701A"/>
    <w:rsid w:val="00817AA3"/>
    <w:rsid w:val="008232FB"/>
    <w:rsid w:val="00825812"/>
    <w:rsid w:val="008308EC"/>
    <w:rsid w:val="00832A9A"/>
    <w:rsid w:val="00836B0A"/>
    <w:rsid w:val="00840A45"/>
    <w:rsid w:val="008410F0"/>
    <w:rsid w:val="00842101"/>
    <w:rsid w:val="00857850"/>
    <w:rsid w:val="00861D70"/>
    <w:rsid w:val="00863607"/>
    <w:rsid w:val="00864AD1"/>
    <w:rsid w:val="008660BF"/>
    <w:rsid w:val="00867282"/>
    <w:rsid w:val="00867DDA"/>
    <w:rsid w:val="0087422F"/>
    <w:rsid w:val="00876342"/>
    <w:rsid w:val="00876E33"/>
    <w:rsid w:val="008839F8"/>
    <w:rsid w:val="008843B4"/>
    <w:rsid w:val="00890AEA"/>
    <w:rsid w:val="0089506A"/>
    <w:rsid w:val="008A2821"/>
    <w:rsid w:val="008A5465"/>
    <w:rsid w:val="008A7BD6"/>
    <w:rsid w:val="008B7E06"/>
    <w:rsid w:val="008C0D14"/>
    <w:rsid w:val="008C3E06"/>
    <w:rsid w:val="008C67F6"/>
    <w:rsid w:val="008D0F2F"/>
    <w:rsid w:val="008D3646"/>
    <w:rsid w:val="008D78D8"/>
    <w:rsid w:val="008E6921"/>
    <w:rsid w:val="008F19A1"/>
    <w:rsid w:val="008F56FE"/>
    <w:rsid w:val="008F632C"/>
    <w:rsid w:val="008F78A1"/>
    <w:rsid w:val="009019D3"/>
    <w:rsid w:val="0090360F"/>
    <w:rsid w:val="009057E2"/>
    <w:rsid w:val="0091516F"/>
    <w:rsid w:val="009245AE"/>
    <w:rsid w:val="00926C38"/>
    <w:rsid w:val="009306B3"/>
    <w:rsid w:val="00931B49"/>
    <w:rsid w:val="00932CD1"/>
    <w:rsid w:val="00937232"/>
    <w:rsid w:val="00944B6B"/>
    <w:rsid w:val="00946E6E"/>
    <w:rsid w:val="009471A5"/>
    <w:rsid w:val="00954216"/>
    <w:rsid w:val="0095422E"/>
    <w:rsid w:val="009569CA"/>
    <w:rsid w:val="00967443"/>
    <w:rsid w:val="009766F1"/>
    <w:rsid w:val="00977AC9"/>
    <w:rsid w:val="00981920"/>
    <w:rsid w:val="00986681"/>
    <w:rsid w:val="009A7380"/>
    <w:rsid w:val="009A7B63"/>
    <w:rsid w:val="009B2B3D"/>
    <w:rsid w:val="009C1556"/>
    <w:rsid w:val="009C6735"/>
    <w:rsid w:val="009D5AE9"/>
    <w:rsid w:val="009E026F"/>
    <w:rsid w:val="009E101A"/>
    <w:rsid w:val="009E18DB"/>
    <w:rsid w:val="009E501F"/>
    <w:rsid w:val="009E7F8A"/>
    <w:rsid w:val="009F337C"/>
    <w:rsid w:val="009F46E9"/>
    <w:rsid w:val="009F5F08"/>
    <w:rsid w:val="009F6AA1"/>
    <w:rsid w:val="009F75BC"/>
    <w:rsid w:val="00A00F26"/>
    <w:rsid w:val="00A062BE"/>
    <w:rsid w:val="00A06CB3"/>
    <w:rsid w:val="00A10219"/>
    <w:rsid w:val="00A103CE"/>
    <w:rsid w:val="00A14E0D"/>
    <w:rsid w:val="00A1763F"/>
    <w:rsid w:val="00A22677"/>
    <w:rsid w:val="00A23619"/>
    <w:rsid w:val="00A355C0"/>
    <w:rsid w:val="00A41A70"/>
    <w:rsid w:val="00A50F0E"/>
    <w:rsid w:val="00A54B2A"/>
    <w:rsid w:val="00A6093F"/>
    <w:rsid w:val="00A70DBD"/>
    <w:rsid w:val="00A738AD"/>
    <w:rsid w:val="00A73F91"/>
    <w:rsid w:val="00A80FCE"/>
    <w:rsid w:val="00A8232C"/>
    <w:rsid w:val="00A8339C"/>
    <w:rsid w:val="00A83A1B"/>
    <w:rsid w:val="00A83CEF"/>
    <w:rsid w:val="00A84639"/>
    <w:rsid w:val="00A861AF"/>
    <w:rsid w:val="00AA00DC"/>
    <w:rsid w:val="00AA49B5"/>
    <w:rsid w:val="00AA4D00"/>
    <w:rsid w:val="00AB2137"/>
    <w:rsid w:val="00AB30C4"/>
    <w:rsid w:val="00AB50A2"/>
    <w:rsid w:val="00AC0922"/>
    <w:rsid w:val="00AC196E"/>
    <w:rsid w:val="00AC5921"/>
    <w:rsid w:val="00AC59D3"/>
    <w:rsid w:val="00AC7CE1"/>
    <w:rsid w:val="00AD7D3D"/>
    <w:rsid w:val="00AE1B3B"/>
    <w:rsid w:val="00AF33B6"/>
    <w:rsid w:val="00AF3AC4"/>
    <w:rsid w:val="00AF4F8B"/>
    <w:rsid w:val="00AF6ECF"/>
    <w:rsid w:val="00AF7F00"/>
    <w:rsid w:val="00B01B62"/>
    <w:rsid w:val="00B01DDF"/>
    <w:rsid w:val="00B02545"/>
    <w:rsid w:val="00B1129E"/>
    <w:rsid w:val="00B11B03"/>
    <w:rsid w:val="00B13464"/>
    <w:rsid w:val="00B17941"/>
    <w:rsid w:val="00B201A5"/>
    <w:rsid w:val="00B20AC7"/>
    <w:rsid w:val="00B219BB"/>
    <w:rsid w:val="00B22BB8"/>
    <w:rsid w:val="00B23FF6"/>
    <w:rsid w:val="00B26A14"/>
    <w:rsid w:val="00B40BD6"/>
    <w:rsid w:val="00B41B08"/>
    <w:rsid w:val="00B42BF9"/>
    <w:rsid w:val="00B43312"/>
    <w:rsid w:val="00B43A63"/>
    <w:rsid w:val="00B4785D"/>
    <w:rsid w:val="00B516F0"/>
    <w:rsid w:val="00B545E8"/>
    <w:rsid w:val="00B55B12"/>
    <w:rsid w:val="00B568AE"/>
    <w:rsid w:val="00B6190B"/>
    <w:rsid w:val="00B62CF0"/>
    <w:rsid w:val="00B65F12"/>
    <w:rsid w:val="00B70859"/>
    <w:rsid w:val="00B7176D"/>
    <w:rsid w:val="00B7366A"/>
    <w:rsid w:val="00B82468"/>
    <w:rsid w:val="00B8361F"/>
    <w:rsid w:val="00B85112"/>
    <w:rsid w:val="00B872E9"/>
    <w:rsid w:val="00B90ABD"/>
    <w:rsid w:val="00B91E86"/>
    <w:rsid w:val="00B927B4"/>
    <w:rsid w:val="00B93378"/>
    <w:rsid w:val="00B93878"/>
    <w:rsid w:val="00BB7625"/>
    <w:rsid w:val="00BC1D54"/>
    <w:rsid w:val="00BC20B4"/>
    <w:rsid w:val="00BC2983"/>
    <w:rsid w:val="00BC480E"/>
    <w:rsid w:val="00BC78B5"/>
    <w:rsid w:val="00BC7AF8"/>
    <w:rsid w:val="00BD0F36"/>
    <w:rsid w:val="00BD497E"/>
    <w:rsid w:val="00BD5ACE"/>
    <w:rsid w:val="00BD69BF"/>
    <w:rsid w:val="00BE1AEE"/>
    <w:rsid w:val="00BE1C1C"/>
    <w:rsid w:val="00BF011F"/>
    <w:rsid w:val="00BF114D"/>
    <w:rsid w:val="00BF40B3"/>
    <w:rsid w:val="00BF729A"/>
    <w:rsid w:val="00C01007"/>
    <w:rsid w:val="00C020CD"/>
    <w:rsid w:val="00C022FF"/>
    <w:rsid w:val="00C073F3"/>
    <w:rsid w:val="00C151AF"/>
    <w:rsid w:val="00C20187"/>
    <w:rsid w:val="00C24A9B"/>
    <w:rsid w:val="00C24FAE"/>
    <w:rsid w:val="00C254BA"/>
    <w:rsid w:val="00C26F4C"/>
    <w:rsid w:val="00C33FC2"/>
    <w:rsid w:val="00C41A0C"/>
    <w:rsid w:val="00C42EF2"/>
    <w:rsid w:val="00C4552B"/>
    <w:rsid w:val="00C45CD8"/>
    <w:rsid w:val="00C46AA8"/>
    <w:rsid w:val="00C500F2"/>
    <w:rsid w:val="00C506C8"/>
    <w:rsid w:val="00C57B0F"/>
    <w:rsid w:val="00C57D1E"/>
    <w:rsid w:val="00C65643"/>
    <w:rsid w:val="00C665C6"/>
    <w:rsid w:val="00C776B8"/>
    <w:rsid w:val="00C8017B"/>
    <w:rsid w:val="00C836CB"/>
    <w:rsid w:val="00C93D5E"/>
    <w:rsid w:val="00C95A46"/>
    <w:rsid w:val="00CA0258"/>
    <w:rsid w:val="00CA5E30"/>
    <w:rsid w:val="00CA6F00"/>
    <w:rsid w:val="00CA7329"/>
    <w:rsid w:val="00CA7F42"/>
    <w:rsid w:val="00CB03CD"/>
    <w:rsid w:val="00CB210A"/>
    <w:rsid w:val="00CC03B9"/>
    <w:rsid w:val="00CC2089"/>
    <w:rsid w:val="00CC3051"/>
    <w:rsid w:val="00CC3D37"/>
    <w:rsid w:val="00CD0087"/>
    <w:rsid w:val="00CD1094"/>
    <w:rsid w:val="00CD23FB"/>
    <w:rsid w:val="00CE71A8"/>
    <w:rsid w:val="00CF5596"/>
    <w:rsid w:val="00CF6A54"/>
    <w:rsid w:val="00D01F48"/>
    <w:rsid w:val="00D130D6"/>
    <w:rsid w:val="00D20C0B"/>
    <w:rsid w:val="00D21BC2"/>
    <w:rsid w:val="00D242DC"/>
    <w:rsid w:val="00D26D5A"/>
    <w:rsid w:val="00D33E52"/>
    <w:rsid w:val="00D34D4D"/>
    <w:rsid w:val="00D43691"/>
    <w:rsid w:val="00D43F20"/>
    <w:rsid w:val="00D44EC1"/>
    <w:rsid w:val="00D45ACE"/>
    <w:rsid w:val="00D45ED0"/>
    <w:rsid w:val="00D519F8"/>
    <w:rsid w:val="00D53D09"/>
    <w:rsid w:val="00D5671A"/>
    <w:rsid w:val="00D67570"/>
    <w:rsid w:val="00D72F7C"/>
    <w:rsid w:val="00D73CF4"/>
    <w:rsid w:val="00D76411"/>
    <w:rsid w:val="00D83490"/>
    <w:rsid w:val="00D86468"/>
    <w:rsid w:val="00D91791"/>
    <w:rsid w:val="00D93A4C"/>
    <w:rsid w:val="00DA0CEC"/>
    <w:rsid w:val="00DA7B89"/>
    <w:rsid w:val="00DA7BCD"/>
    <w:rsid w:val="00DB1277"/>
    <w:rsid w:val="00DB18B2"/>
    <w:rsid w:val="00DB371B"/>
    <w:rsid w:val="00DB539E"/>
    <w:rsid w:val="00DC0D3B"/>
    <w:rsid w:val="00DC1B63"/>
    <w:rsid w:val="00DC5C4C"/>
    <w:rsid w:val="00DC690B"/>
    <w:rsid w:val="00DC74D1"/>
    <w:rsid w:val="00DD1074"/>
    <w:rsid w:val="00DD448A"/>
    <w:rsid w:val="00DE0F7D"/>
    <w:rsid w:val="00DE1CF8"/>
    <w:rsid w:val="00DE4B83"/>
    <w:rsid w:val="00DE5D3C"/>
    <w:rsid w:val="00DF00F0"/>
    <w:rsid w:val="00DF1E87"/>
    <w:rsid w:val="00DF2482"/>
    <w:rsid w:val="00E10653"/>
    <w:rsid w:val="00E14885"/>
    <w:rsid w:val="00E14BE7"/>
    <w:rsid w:val="00E17324"/>
    <w:rsid w:val="00E33001"/>
    <w:rsid w:val="00E33210"/>
    <w:rsid w:val="00E363BC"/>
    <w:rsid w:val="00E42135"/>
    <w:rsid w:val="00E4251B"/>
    <w:rsid w:val="00E4582D"/>
    <w:rsid w:val="00E461AE"/>
    <w:rsid w:val="00E46B00"/>
    <w:rsid w:val="00E52326"/>
    <w:rsid w:val="00E56892"/>
    <w:rsid w:val="00E57DC2"/>
    <w:rsid w:val="00E620C1"/>
    <w:rsid w:val="00E6216C"/>
    <w:rsid w:val="00E70C4E"/>
    <w:rsid w:val="00E732D9"/>
    <w:rsid w:val="00E75E88"/>
    <w:rsid w:val="00E8201D"/>
    <w:rsid w:val="00E824B1"/>
    <w:rsid w:val="00E849A9"/>
    <w:rsid w:val="00E85BF0"/>
    <w:rsid w:val="00E872E6"/>
    <w:rsid w:val="00E9162D"/>
    <w:rsid w:val="00E95520"/>
    <w:rsid w:val="00EA1733"/>
    <w:rsid w:val="00EA49F1"/>
    <w:rsid w:val="00EA7381"/>
    <w:rsid w:val="00EB2C20"/>
    <w:rsid w:val="00EB3222"/>
    <w:rsid w:val="00EB3308"/>
    <w:rsid w:val="00EB4452"/>
    <w:rsid w:val="00EB47EB"/>
    <w:rsid w:val="00EC4DE6"/>
    <w:rsid w:val="00EC5332"/>
    <w:rsid w:val="00EC53D2"/>
    <w:rsid w:val="00EC6228"/>
    <w:rsid w:val="00EC7120"/>
    <w:rsid w:val="00ED6429"/>
    <w:rsid w:val="00ED6674"/>
    <w:rsid w:val="00ED673D"/>
    <w:rsid w:val="00EE046D"/>
    <w:rsid w:val="00EF0618"/>
    <w:rsid w:val="00EF18FC"/>
    <w:rsid w:val="00EF2302"/>
    <w:rsid w:val="00EF795F"/>
    <w:rsid w:val="00F02E11"/>
    <w:rsid w:val="00F04065"/>
    <w:rsid w:val="00F04FBA"/>
    <w:rsid w:val="00F1093A"/>
    <w:rsid w:val="00F109D5"/>
    <w:rsid w:val="00F119D0"/>
    <w:rsid w:val="00F1386A"/>
    <w:rsid w:val="00F13BD0"/>
    <w:rsid w:val="00F15C12"/>
    <w:rsid w:val="00F231CC"/>
    <w:rsid w:val="00F23FEA"/>
    <w:rsid w:val="00F24956"/>
    <w:rsid w:val="00F24B85"/>
    <w:rsid w:val="00F31E71"/>
    <w:rsid w:val="00F32F94"/>
    <w:rsid w:val="00F338B8"/>
    <w:rsid w:val="00F36F1C"/>
    <w:rsid w:val="00F513E2"/>
    <w:rsid w:val="00F52487"/>
    <w:rsid w:val="00F54F0C"/>
    <w:rsid w:val="00F5673C"/>
    <w:rsid w:val="00F5731F"/>
    <w:rsid w:val="00F60B73"/>
    <w:rsid w:val="00F62066"/>
    <w:rsid w:val="00F623A0"/>
    <w:rsid w:val="00F630CA"/>
    <w:rsid w:val="00F7155F"/>
    <w:rsid w:val="00F71C65"/>
    <w:rsid w:val="00F73533"/>
    <w:rsid w:val="00F75FAD"/>
    <w:rsid w:val="00F75FEF"/>
    <w:rsid w:val="00F84512"/>
    <w:rsid w:val="00F85500"/>
    <w:rsid w:val="00F90878"/>
    <w:rsid w:val="00F963C8"/>
    <w:rsid w:val="00FA3EB8"/>
    <w:rsid w:val="00FA64E4"/>
    <w:rsid w:val="00FB0138"/>
    <w:rsid w:val="00FB07EA"/>
    <w:rsid w:val="00FB212A"/>
    <w:rsid w:val="00FB489A"/>
    <w:rsid w:val="00FB5D7B"/>
    <w:rsid w:val="00FB6F90"/>
    <w:rsid w:val="00FB7183"/>
    <w:rsid w:val="00FC1337"/>
    <w:rsid w:val="00FC3482"/>
    <w:rsid w:val="00FC43AC"/>
    <w:rsid w:val="00FC4EE1"/>
    <w:rsid w:val="00FD126C"/>
    <w:rsid w:val="00FE5C21"/>
    <w:rsid w:val="00FE6F90"/>
    <w:rsid w:val="00FF02EC"/>
    <w:rsid w:val="00FF19F8"/>
    <w:rsid w:val="00FF2DBF"/>
    <w:rsid w:val="00FF323A"/>
    <w:rsid w:val="05009C5C"/>
    <w:rsid w:val="08323E39"/>
    <w:rsid w:val="179D69D5"/>
    <w:rsid w:val="196ACB3F"/>
    <w:rsid w:val="1A8AAC3B"/>
    <w:rsid w:val="1CEEEAD4"/>
    <w:rsid w:val="1F702D16"/>
    <w:rsid w:val="272FB1AF"/>
    <w:rsid w:val="31D1B693"/>
    <w:rsid w:val="4798432D"/>
    <w:rsid w:val="4C39DC0F"/>
    <w:rsid w:val="4C4C6699"/>
    <w:rsid w:val="501A7FE3"/>
    <w:rsid w:val="7A91A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A5B12"/>
  <w15:docId w15:val="{09B793C2-5156-4961-988F-9BE68D5A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34E"/>
    <w:pPr>
      <w:spacing w:after="0" w:line="240" w:lineRule="auto"/>
      <w:ind w:left="720"/>
      <w:contextualSpacing/>
    </w:pPr>
    <w:rPr>
      <w:rFonts w:eastAsiaTheme="minorEastAsia"/>
      <w:noProof/>
      <w:sz w:val="24"/>
      <w:szCs w:val="24"/>
      <w:lang w:val="en-GB"/>
    </w:rPr>
  </w:style>
  <w:style w:type="paragraph" w:styleId="NormalWeb">
    <w:name w:val="Normal (Web)"/>
    <w:basedOn w:val="Normal"/>
    <w:uiPriority w:val="99"/>
    <w:unhideWhenUsed/>
    <w:rsid w:val="001D0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056B"/>
  </w:style>
  <w:style w:type="paragraph" w:styleId="BalloonText">
    <w:name w:val="Balloon Text"/>
    <w:basedOn w:val="Normal"/>
    <w:link w:val="BalloonTextChar"/>
    <w:uiPriority w:val="99"/>
    <w:semiHidden/>
    <w:unhideWhenUsed/>
    <w:rsid w:val="006B6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7E9"/>
    <w:rPr>
      <w:rFonts w:ascii="Segoe UI" w:hAnsi="Segoe UI" w:cs="Segoe UI"/>
      <w:sz w:val="18"/>
      <w:szCs w:val="18"/>
    </w:rPr>
  </w:style>
  <w:style w:type="character" w:styleId="Emphasis">
    <w:name w:val="Emphasis"/>
    <w:basedOn w:val="DefaultParagraphFont"/>
    <w:uiPriority w:val="20"/>
    <w:qFormat/>
    <w:rsid w:val="009F75BC"/>
    <w:rPr>
      <w:i/>
      <w:iCs/>
    </w:rPr>
  </w:style>
  <w:style w:type="character" w:styleId="Hyperlink">
    <w:name w:val="Hyperlink"/>
    <w:basedOn w:val="DefaultParagraphFont"/>
    <w:uiPriority w:val="99"/>
    <w:unhideWhenUsed/>
    <w:rsid w:val="009F75BC"/>
    <w:rPr>
      <w:color w:val="0000FF"/>
      <w:u w:val="single"/>
    </w:rPr>
  </w:style>
  <w:style w:type="character" w:styleId="CommentReference">
    <w:name w:val="annotation reference"/>
    <w:basedOn w:val="DefaultParagraphFont"/>
    <w:uiPriority w:val="99"/>
    <w:semiHidden/>
    <w:unhideWhenUsed/>
    <w:rsid w:val="00F338B8"/>
    <w:rPr>
      <w:sz w:val="16"/>
      <w:szCs w:val="16"/>
    </w:rPr>
  </w:style>
  <w:style w:type="paragraph" w:styleId="CommentText">
    <w:name w:val="annotation text"/>
    <w:basedOn w:val="Normal"/>
    <w:link w:val="CommentTextChar"/>
    <w:uiPriority w:val="99"/>
    <w:semiHidden/>
    <w:unhideWhenUsed/>
    <w:rsid w:val="00F338B8"/>
    <w:pPr>
      <w:spacing w:line="240" w:lineRule="auto"/>
    </w:pPr>
    <w:rPr>
      <w:sz w:val="20"/>
      <w:szCs w:val="20"/>
    </w:rPr>
  </w:style>
  <w:style w:type="character" w:customStyle="1" w:styleId="CommentTextChar">
    <w:name w:val="Comment Text Char"/>
    <w:basedOn w:val="DefaultParagraphFont"/>
    <w:link w:val="CommentText"/>
    <w:uiPriority w:val="99"/>
    <w:semiHidden/>
    <w:rsid w:val="00F338B8"/>
    <w:rPr>
      <w:sz w:val="20"/>
      <w:szCs w:val="20"/>
    </w:rPr>
  </w:style>
  <w:style w:type="paragraph" w:styleId="CommentSubject">
    <w:name w:val="annotation subject"/>
    <w:basedOn w:val="CommentText"/>
    <w:next w:val="CommentText"/>
    <w:link w:val="CommentSubjectChar"/>
    <w:uiPriority w:val="99"/>
    <w:semiHidden/>
    <w:unhideWhenUsed/>
    <w:rsid w:val="00F338B8"/>
    <w:rPr>
      <w:b/>
      <w:bCs/>
    </w:rPr>
  </w:style>
  <w:style w:type="character" w:customStyle="1" w:styleId="CommentSubjectChar">
    <w:name w:val="Comment Subject Char"/>
    <w:basedOn w:val="CommentTextChar"/>
    <w:link w:val="CommentSubject"/>
    <w:uiPriority w:val="99"/>
    <w:semiHidden/>
    <w:rsid w:val="00F338B8"/>
    <w:rPr>
      <w:b/>
      <w:bCs/>
      <w:sz w:val="20"/>
      <w:szCs w:val="20"/>
    </w:rPr>
  </w:style>
  <w:style w:type="paragraph" w:styleId="Header">
    <w:name w:val="header"/>
    <w:basedOn w:val="Normal"/>
    <w:link w:val="HeaderChar"/>
    <w:uiPriority w:val="99"/>
    <w:unhideWhenUsed/>
    <w:rsid w:val="00954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216"/>
  </w:style>
  <w:style w:type="paragraph" w:styleId="Footer">
    <w:name w:val="footer"/>
    <w:basedOn w:val="Normal"/>
    <w:link w:val="FooterChar"/>
    <w:uiPriority w:val="99"/>
    <w:unhideWhenUsed/>
    <w:rsid w:val="00954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216"/>
  </w:style>
  <w:style w:type="character" w:styleId="FollowedHyperlink">
    <w:name w:val="FollowedHyperlink"/>
    <w:basedOn w:val="DefaultParagraphFont"/>
    <w:uiPriority w:val="99"/>
    <w:semiHidden/>
    <w:unhideWhenUsed/>
    <w:rsid w:val="002858A9"/>
    <w:rPr>
      <w:color w:val="954F72" w:themeColor="followedHyperlink"/>
      <w:u w:val="single"/>
    </w:rPr>
  </w:style>
  <w:style w:type="paragraph" w:styleId="Revision">
    <w:name w:val="Revision"/>
    <w:hidden/>
    <w:uiPriority w:val="99"/>
    <w:semiHidden/>
    <w:rsid w:val="004F122E"/>
    <w:pPr>
      <w:spacing w:after="0" w:line="240" w:lineRule="auto"/>
    </w:pPr>
  </w:style>
  <w:style w:type="character" w:customStyle="1" w:styleId="font-g-9xr6avh0adgpwwr-n4">
    <w:name w:val="font-g-9xr6avh0adgpwwr-n4"/>
    <w:basedOn w:val="DefaultParagraphFont"/>
    <w:rsid w:val="00937232"/>
  </w:style>
  <w:style w:type="table" w:customStyle="1" w:styleId="PlainTable11">
    <w:name w:val="Plain Table 11"/>
    <w:basedOn w:val="TableNormal"/>
    <w:uiPriority w:val="41"/>
    <w:rsid w:val="00DB53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F249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3478">
      <w:bodyDiv w:val="1"/>
      <w:marLeft w:val="0"/>
      <w:marRight w:val="0"/>
      <w:marTop w:val="0"/>
      <w:marBottom w:val="0"/>
      <w:divBdr>
        <w:top w:val="none" w:sz="0" w:space="0" w:color="auto"/>
        <w:left w:val="none" w:sz="0" w:space="0" w:color="auto"/>
        <w:bottom w:val="none" w:sz="0" w:space="0" w:color="auto"/>
        <w:right w:val="none" w:sz="0" w:space="0" w:color="auto"/>
      </w:divBdr>
      <w:divsChild>
        <w:div w:id="409038189">
          <w:marLeft w:val="274"/>
          <w:marRight w:val="0"/>
          <w:marTop w:val="0"/>
          <w:marBottom w:val="120"/>
          <w:divBdr>
            <w:top w:val="none" w:sz="0" w:space="0" w:color="auto"/>
            <w:left w:val="none" w:sz="0" w:space="0" w:color="auto"/>
            <w:bottom w:val="none" w:sz="0" w:space="0" w:color="auto"/>
            <w:right w:val="none" w:sz="0" w:space="0" w:color="auto"/>
          </w:divBdr>
        </w:div>
      </w:divsChild>
    </w:div>
    <w:div w:id="319815694">
      <w:bodyDiv w:val="1"/>
      <w:marLeft w:val="0"/>
      <w:marRight w:val="0"/>
      <w:marTop w:val="0"/>
      <w:marBottom w:val="0"/>
      <w:divBdr>
        <w:top w:val="none" w:sz="0" w:space="0" w:color="auto"/>
        <w:left w:val="none" w:sz="0" w:space="0" w:color="auto"/>
        <w:bottom w:val="none" w:sz="0" w:space="0" w:color="auto"/>
        <w:right w:val="none" w:sz="0" w:space="0" w:color="auto"/>
      </w:divBdr>
    </w:div>
    <w:div w:id="606816930">
      <w:bodyDiv w:val="1"/>
      <w:marLeft w:val="0"/>
      <w:marRight w:val="0"/>
      <w:marTop w:val="0"/>
      <w:marBottom w:val="0"/>
      <w:divBdr>
        <w:top w:val="none" w:sz="0" w:space="0" w:color="auto"/>
        <w:left w:val="none" w:sz="0" w:space="0" w:color="auto"/>
        <w:bottom w:val="none" w:sz="0" w:space="0" w:color="auto"/>
        <w:right w:val="none" w:sz="0" w:space="0" w:color="auto"/>
      </w:divBdr>
    </w:div>
    <w:div w:id="760643056">
      <w:bodyDiv w:val="1"/>
      <w:marLeft w:val="0"/>
      <w:marRight w:val="0"/>
      <w:marTop w:val="0"/>
      <w:marBottom w:val="0"/>
      <w:divBdr>
        <w:top w:val="none" w:sz="0" w:space="0" w:color="auto"/>
        <w:left w:val="none" w:sz="0" w:space="0" w:color="auto"/>
        <w:bottom w:val="none" w:sz="0" w:space="0" w:color="auto"/>
        <w:right w:val="none" w:sz="0" w:space="0" w:color="auto"/>
      </w:divBdr>
    </w:div>
    <w:div w:id="942417357">
      <w:bodyDiv w:val="1"/>
      <w:marLeft w:val="0"/>
      <w:marRight w:val="0"/>
      <w:marTop w:val="0"/>
      <w:marBottom w:val="0"/>
      <w:divBdr>
        <w:top w:val="none" w:sz="0" w:space="0" w:color="auto"/>
        <w:left w:val="none" w:sz="0" w:space="0" w:color="auto"/>
        <w:bottom w:val="none" w:sz="0" w:space="0" w:color="auto"/>
        <w:right w:val="none" w:sz="0" w:space="0" w:color="auto"/>
      </w:divBdr>
    </w:div>
    <w:div w:id="1141383774">
      <w:bodyDiv w:val="1"/>
      <w:marLeft w:val="0"/>
      <w:marRight w:val="0"/>
      <w:marTop w:val="0"/>
      <w:marBottom w:val="0"/>
      <w:divBdr>
        <w:top w:val="none" w:sz="0" w:space="0" w:color="auto"/>
        <w:left w:val="none" w:sz="0" w:space="0" w:color="auto"/>
        <w:bottom w:val="none" w:sz="0" w:space="0" w:color="auto"/>
        <w:right w:val="none" w:sz="0" w:space="0" w:color="auto"/>
      </w:divBdr>
    </w:div>
    <w:div w:id="1214466076">
      <w:bodyDiv w:val="1"/>
      <w:marLeft w:val="0"/>
      <w:marRight w:val="0"/>
      <w:marTop w:val="0"/>
      <w:marBottom w:val="0"/>
      <w:divBdr>
        <w:top w:val="none" w:sz="0" w:space="0" w:color="auto"/>
        <w:left w:val="none" w:sz="0" w:space="0" w:color="auto"/>
        <w:bottom w:val="none" w:sz="0" w:space="0" w:color="auto"/>
        <w:right w:val="none" w:sz="0" w:space="0" w:color="auto"/>
      </w:divBdr>
      <w:divsChild>
        <w:div w:id="1897159661">
          <w:marLeft w:val="994"/>
          <w:marRight w:val="0"/>
          <w:marTop w:val="0"/>
          <w:marBottom w:val="0"/>
          <w:divBdr>
            <w:top w:val="none" w:sz="0" w:space="0" w:color="auto"/>
            <w:left w:val="none" w:sz="0" w:space="0" w:color="auto"/>
            <w:bottom w:val="none" w:sz="0" w:space="0" w:color="auto"/>
            <w:right w:val="none" w:sz="0" w:space="0" w:color="auto"/>
          </w:divBdr>
        </w:div>
      </w:divsChild>
    </w:div>
    <w:div w:id="1448039863">
      <w:bodyDiv w:val="1"/>
      <w:marLeft w:val="0"/>
      <w:marRight w:val="0"/>
      <w:marTop w:val="0"/>
      <w:marBottom w:val="0"/>
      <w:divBdr>
        <w:top w:val="none" w:sz="0" w:space="0" w:color="auto"/>
        <w:left w:val="none" w:sz="0" w:space="0" w:color="auto"/>
        <w:bottom w:val="none" w:sz="0" w:space="0" w:color="auto"/>
        <w:right w:val="none" w:sz="0" w:space="0" w:color="auto"/>
      </w:divBdr>
      <w:divsChild>
        <w:div w:id="667362726">
          <w:marLeft w:val="274"/>
          <w:marRight w:val="0"/>
          <w:marTop w:val="0"/>
          <w:marBottom w:val="0"/>
          <w:divBdr>
            <w:top w:val="none" w:sz="0" w:space="0" w:color="auto"/>
            <w:left w:val="none" w:sz="0" w:space="0" w:color="auto"/>
            <w:bottom w:val="none" w:sz="0" w:space="0" w:color="auto"/>
            <w:right w:val="none" w:sz="0" w:space="0" w:color="auto"/>
          </w:divBdr>
        </w:div>
      </w:divsChild>
    </w:div>
    <w:div w:id="1530800038">
      <w:bodyDiv w:val="1"/>
      <w:marLeft w:val="0"/>
      <w:marRight w:val="0"/>
      <w:marTop w:val="0"/>
      <w:marBottom w:val="0"/>
      <w:divBdr>
        <w:top w:val="none" w:sz="0" w:space="0" w:color="auto"/>
        <w:left w:val="none" w:sz="0" w:space="0" w:color="auto"/>
        <w:bottom w:val="none" w:sz="0" w:space="0" w:color="auto"/>
        <w:right w:val="none" w:sz="0" w:space="0" w:color="auto"/>
      </w:divBdr>
      <w:divsChild>
        <w:div w:id="1547520787">
          <w:marLeft w:val="274"/>
          <w:marRight w:val="0"/>
          <w:marTop w:val="0"/>
          <w:marBottom w:val="0"/>
          <w:divBdr>
            <w:top w:val="none" w:sz="0" w:space="0" w:color="auto"/>
            <w:left w:val="none" w:sz="0" w:space="0" w:color="auto"/>
            <w:bottom w:val="none" w:sz="0" w:space="0" w:color="auto"/>
            <w:right w:val="none" w:sz="0" w:space="0" w:color="auto"/>
          </w:divBdr>
        </w:div>
        <w:div w:id="801576690">
          <w:marLeft w:val="274"/>
          <w:marRight w:val="0"/>
          <w:marTop w:val="0"/>
          <w:marBottom w:val="0"/>
          <w:divBdr>
            <w:top w:val="none" w:sz="0" w:space="0" w:color="auto"/>
            <w:left w:val="none" w:sz="0" w:space="0" w:color="auto"/>
            <w:bottom w:val="none" w:sz="0" w:space="0" w:color="auto"/>
            <w:right w:val="none" w:sz="0" w:space="0" w:color="auto"/>
          </w:divBdr>
        </w:div>
      </w:divsChild>
    </w:div>
    <w:div w:id="1538276806">
      <w:bodyDiv w:val="1"/>
      <w:marLeft w:val="0"/>
      <w:marRight w:val="0"/>
      <w:marTop w:val="0"/>
      <w:marBottom w:val="0"/>
      <w:divBdr>
        <w:top w:val="none" w:sz="0" w:space="0" w:color="auto"/>
        <w:left w:val="none" w:sz="0" w:space="0" w:color="auto"/>
        <w:bottom w:val="none" w:sz="0" w:space="0" w:color="auto"/>
        <w:right w:val="none" w:sz="0" w:space="0" w:color="auto"/>
      </w:divBdr>
    </w:div>
    <w:div w:id="1565215703">
      <w:bodyDiv w:val="1"/>
      <w:marLeft w:val="0"/>
      <w:marRight w:val="0"/>
      <w:marTop w:val="0"/>
      <w:marBottom w:val="0"/>
      <w:divBdr>
        <w:top w:val="none" w:sz="0" w:space="0" w:color="auto"/>
        <w:left w:val="none" w:sz="0" w:space="0" w:color="auto"/>
        <w:bottom w:val="none" w:sz="0" w:space="0" w:color="auto"/>
        <w:right w:val="none" w:sz="0" w:space="0" w:color="auto"/>
      </w:divBdr>
    </w:div>
    <w:div w:id="1570261720">
      <w:bodyDiv w:val="1"/>
      <w:marLeft w:val="0"/>
      <w:marRight w:val="0"/>
      <w:marTop w:val="0"/>
      <w:marBottom w:val="0"/>
      <w:divBdr>
        <w:top w:val="none" w:sz="0" w:space="0" w:color="auto"/>
        <w:left w:val="none" w:sz="0" w:space="0" w:color="auto"/>
        <w:bottom w:val="none" w:sz="0" w:space="0" w:color="auto"/>
        <w:right w:val="none" w:sz="0" w:space="0" w:color="auto"/>
      </w:divBdr>
    </w:div>
    <w:div w:id="1586955768">
      <w:bodyDiv w:val="1"/>
      <w:marLeft w:val="0"/>
      <w:marRight w:val="0"/>
      <w:marTop w:val="0"/>
      <w:marBottom w:val="0"/>
      <w:divBdr>
        <w:top w:val="none" w:sz="0" w:space="0" w:color="auto"/>
        <w:left w:val="none" w:sz="0" w:space="0" w:color="auto"/>
        <w:bottom w:val="none" w:sz="0" w:space="0" w:color="auto"/>
        <w:right w:val="none" w:sz="0" w:space="0" w:color="auto"/>
      </w:divBdr>
      <w:divsChild>
        <w:div w:id="137113262">
          <w:marLeft w:val="994"/>
          <w:marRight w:val="0"/>
          <w:marTop w:val="0"/>
          <w:marBottom w:val="0"/>
          <w:divBdr>
            <w:top w:val="none" w:sz="0" w:space="0" w:color="auto"/>
            <w:left w:val="none" w:sz="0" w:space="0" w:color="auto"/>
            <w:bottom w:val="none" w:sz="0" w:space="0" w:color="auto"/>
            <w:right w:val="none" w:sz="0" w:space="0" w:color="auto"/>
          </w:divBdr>
        </w:div>
        <w:div w:id="1833449726">
          <w:marLeft w:val="994"/>
          <w:marRight w:val="0"/>
          <w:marTop w:val="0"/>
          <w:marBottom w:val="0"/>
          <w:divBdr>
            <w:top w:val="none" w:sz="0" w:space="0" w:color="auto"/>
            <w:left w:val="none" w:sz="0" w:space="0" w:color="auto"/>
            <w:bottom w:val="none" w:sz="0" w:space="0" w:color="auto"/>
            <w:right w:val="none" w:sz="0" w:space="0" w:color="auto"/>
          </w:divBdr>
        </w:div>
        <w:div w:id="1047877688">
          <w:marLeft w:val="994"/>
          <w:marRight w:val="0"/>
          <w:marTop w:val="0"/>
          <w:marBottom w:val="0"/>
          <w:divBdr>
            <w:top w:val="none" w:sz="0" w:space="0" w:color="auto"/>
            <w:left w:val="none" w:sz="0" w:space="0" w:color="auto"/>
            <w:bottom w:val="none" w:sz="0" w:space="0" w:color="auto"/>
            <w:right w:val="none" w:sz="0" w:space="0" w:color="auto"/>
          </w:divBdr>
        </w:div>
        <w:div w:id="1913421643">
          <w:marLeft w:val="994"/>
          <w:marRight w:val="0"/>
          <w:marTop w:val="0"/>
          <w:marBottom w:val="0"/>
          <w:divBdr>
            <w:top w:val="none" w:sz="0" w:space="0" w:color="auto"/>
            <w:left w:val="none" w:sz="0" w:space="0" w:color="auto"/>
            <w:bottom w:val="none" w:sz="0" w:space="0" w:color="auto"/>
            <w:right w:val="none" w:sz="0" w:space="0" w:color="auto"/>
          </w:divBdr>
        </w:div>
        <w:div w:id="1872064983">
          <w:marLeft w:val="994"/>
          <w:marRight w:val="0"/>
          <w:marTop w:val="0"/>
          <w:marBottom w:val="0"/>
          <w:divBdr>
            <w:top w:val="none" w:sz="0" w:space="0" w:color="auto"/>
            <w:left w:val="none" w:sz="0" w:space="0" w:color="auto"/>
            <w:bottom w:val="none" w:sz="0" w:space="0" w:color="auto"/>
            <w:right w:val="none" w:sz="0" w:space="0" w:color="auto"/>
          </w:divBdr>
        </w:div>
      </w:divsChild>
    </w:div>
    <w:div w:id="1669476885">
      <w:bodyDiv w:val="1"/>
      <w:marLeft w:val="0"/>
      <w:marRight w:val="0"/>
      <w:marTop w:val="0"/>
      <w:marBottom w:val="0"/>
      <w:divBdr>
        <w:top w:val="none" w:sz="0" w:space="0" w:color="auto"/>
        <w:left w:val="none" w:sz="0" w:space="0" w:color="auto"/>
        <w:bottom w:val="none" w:sz="0" w:space="0" w:color="auto"/>
        <w:right w:val="none" w:sz="0" w:space="0" w:color="auto"/>
      </w:divBdr>
    </w:div>
    <w:div w:id="183205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sreportcar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rtin@hagershar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y.wilburn@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3be664f923189fce97545994f262188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aeff96c4f5571f316f3f29ae74a517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C18D5-CB03-430F-99B8-D5EACA4344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B59228-3D11-49A1-847D-C544DD9AEC1A}">
  <ds:schemaRefs>
    <ds:schemaRef ds:uri="http://schemas.microsoft.com/sharepoint/v3/contenttype/forms"/>
  </ds:schemaRefs>
</ds:datastoreItem>
</file>

<file path=customXml/itemProps3.xml><?xml version="1.0" encoding="utf-8"?>
<ds:datastoreItem xmlns:ds="http://schemas.openxmlformats.org/officeDocument/2006/customXml" ds:itemID="{8701BA9C-4328-4863-BBBC-9E34BFC3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D2B09-75B1-4898-9148-0BDB000E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Scores Decline on 2019 Nation’s Report Card </dc:title>
  <dc:creator>Ashley Parker</dc:creator>
  <cp:lastModifiedBy>Hollis, Taryn</cp:lastModifiedBy>
  <cp:revision>3</cp:revision>
  <cp:lastPrinted>2019-10-22T21:29:00Z</cp:lastPrinted>
  <dcterms:created xsi:type="dcterms:W3CDTF">2021-09-29T11:42:00Z</dcterms:created>
  <dcterms:modified xsi:type="dcterms:W3CDTF">2021-12-07T13:48:00Z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