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7F89" w14:textId="1D605F71" w:rsidR="00B06605" w:rsidRPr="00341304" w:rsidRDefault="00B06605" w:rsidP="00D824D6">
      <w:pPr>
        <w:spacing w:line="276" w:lineRule="auto"/>
        <w:rPr>
          <w:rFonts w:ascii="Arial" w:hAnsi="Arial" w:cs="Arial"/>
          <w:b/>
          <w:sz w:val="20"/>
          <w:szCs w:val="20"/>
        </w:rPr>
      </w:pPr>
      <w:r w:rsidRPr="00341304">
        <w:rPr>
          <w:rFonts w:ascii="Arial" w:hAnsi="Arial" w:cs="Arial"/>
          <w:b/>
          <w:sz w:val="20"/>
          <w:szCs w:val="20"/>
        </w:rPr>
        <w:t>NEWS RELEASE</w:t>
      </w:r>
      <w:r w:rsidRPr="00341304">
        <w:rPr>
          <w:rFonts w:ascii="Arial" w:hAnsi="Arial" w:cs="Arial"/>
          <w:b/>
          <w:color w:val="FF0000"/>
          <w:sz w:val="20"/>
          <w:szCs w:val="20"/>
        </w:rPr>
        <w:br/>
      </w:r>
      <w:r w:rsidRPr="00341304">
        <w:rPr>
          <w:rFonts w:ascii="Arial" w:hAnsi="Arial" w:cs="Arial"/>
          <w:b/>
          <w:sz w:val="20"/>
          <w:szCs w:val="20"/>
        </w:rPr>
        <w:t>EMBARGOED—HOLD</w:t>
      </w:r>
      <w:r w:rsidR="0089393D">
        <w:rPr>
          <w:rFonts w:ascii="Arial" w:hAnsi="Arial" w:cs="Arial"/>
          <w:b/>
          <w:sz w:val="20"/>
          <w:szCs w:val="20"/>
        </w:rPr>
        <w:t xml:space="preserve"> FOR RELEASE UNTIL 12:01 A.M. April 27, 2016</w:t>
      </w:r>
      <w:r w:rsidR="00700E5F" w:rsidRPr="00341304">
        <w:rPr>
          <w:rFonts w:ascii="Arial" w:hAnsi="Arial" w:cs="Arial"/>
          <w:b/>
          <w:sz w:val="20"/>
          <w:szCs w:val="20"/>
        </w:rPr>
        <w:br/>
      </w:r>
      <w:r w:rsidRPr="00341304">
        <w:rPr>
          <w:rFonts w:ascii="Arial" w:hAnsi="Arial" w:cs="Arial"/>
          <w:b/>
          <w:sz w:val="20"/>
          <w:szCs w:val="20"/>
        </w:rPr>
        <w:t>CONTACT:</w:t>
      </w:r>
      <w:r w:rsidRPr="00341304">
        <w:rPr>
          <w:rFonts w:ascii="Arial" w:hAnsi="Arial" w:cs="Arial"/>
          <w:b/>
          <w:sz w:val="20"/>
          <w:szCs w:val="20"/>
        </w:rPr>
        <w:br/>
      </w:r>
      <w:r w:rsidRPr="00341304">
        <w:rPr>
          <w:rFonts w:ascii="Arial" w:hAnsi="Arial" w:cs="Arial"/>
          <w:sz w:val="20"/>
          <w:szCs w:val="20"/>
        </w:rPr>
        <w:t xml:space="preserve">DAN MCGRATH, </w:t>
      </w:r>
      <w:hyperlink r:id="rId6" w:history="1">
        <w:r w:rsidRPr="00341304">
          <w:rPr>
            <w:rStyle w:val="Hyperlink"/>
            <w:rFonts w:ascii="Arial" w:eastAsia="Times New Roman" w:hAnsi="Arial" w:cs="Arial"/>
            <w:sz w:val="20"/>
            <w:szCs w:val="20"/>
          </w:rPr>
          <w:t>Daniel.McGrath@ed.gov</w:t>
        </w:r>
      </w:hyperlink>
      <w:r w:rsidRPr="00341304">
        <w:rPr>
          <w:rFonts w:ascii="Arial" w:eastAsia="Times New Roman" w:hAnsi="Arial" w:cs="Arial"/>
          <w:sz w:val="20"/>
          <w:szCs w:val="20"/>
        </w:rPr>
        <w:t xml:space="preserve">, </w:t>
      </w:r>
      <w:r w:rsidRPr="00341304">
        <w:rPr>
          <w:rFonts w:ascii="Arial" w:eastAsia="Times New Roman" w:hAnsi="Arial" w:cs="Arial"/>
          <w:color w:val="000000"/>
          <w:sz w:val="20"/>
          <w:szCs w:val="20"/>
          <w:shd w:val="clear" w:color="auto" w:fill="FFFFFF"/>
        </w:rPr>
        <w:t>(202) 502-7426</w:t>
      </w:r>
      <w:r w:rsidR="00F735C1">
        <w:rPr>
          <w:rFonts w:ascii="Arial" w:hAnsi="Arial" w:cs="Arial"/>
          <w:sz w:val="20"/>
          <w:szCs w:val="20"/>
        </w:rPr>
        <w:t xml:space="preserve"> </w:t>
      </w:r>
      <w:r w:rsidRPr="00341304">
        <w:rPr>
          <w:rFonts w:ascii="Arial" w:eastAsia="Times New Roman" w:hAnsi="Arial" w:cs="Arial"/>
          <w:sz w:val="20"/>
          <w:szCs w:val="20"/>
        </w:rPr>
        <w:t>OR</w:t>
      </w:r>
      <w:r w:rsidRPr="00341304">
        <w:rPr>
          <w:rFonts w:ascii="Arial" w:eastAsia="Times New Roman" w:hAnsi="Arial" w:cs="Arial"/>
          <w:sz w:val="20"/>
          <w:szCs w:val="20"/>
        </w:rPr>
        <w:br/>
        <w:t xml:space="preserve">DAVID HOFF, </w:t>
      </w:r>
      <w:hyperlink r:id="rId7" w:history="1">
        <w:r w:rsidRPr="00341304">
          <w:rPr>
            <w:rStyle w:val="Hyperlink"/>
            <w:rFonts w:ascii="Arial" w:eastAsia="Times New Roman" w:hAnsi="Arial" w:cs="Arial"/>
            <w:sz w:val="20"/>
            <w:szCs w:val="20"/>
          </w:rPr>
          <w:t>dhoff@hagersharp.com</w:t>
        </w:r>
      </w:hyperlink>
      <w:r w:rsidRPr="00341304">
        <w:rPr>
          <w:rFonts w:ascii="Arial" w:eastAsia="Times New Roman" w:hAnsi="Arial" w:cs="Arial"/>
          <w:sz w:val="20"/>
          <w:szCs w:val="20"/>
        </w:rPr>
        <w:t>, (202) 706-7430</w:t>
      </w:r>
    </w:p>
    <w:p w14:paraId="7D098C06" w14:textId="77777777" w:rsidR="00CE3CF1" w:rsidRPr="00341304" w:rsidRDefault="00CE3CF1" w:rsidP="00A9181F">
      <w:pPr>
        <w:pStyle w:val="Title"/>
      </w:pPr>
      <w:r w:rsidRPr="00341304">
        <w:t xml:space="preserve">The Nation’s Report Card Shows </w:t>
      </w:r>
      <w:r w:rsidR="001B0782" w:rsidRPr="00341304">
        <w:t>Mixed Results for Grade 12</w:t>
      </w:r>
    </w:p>
    <w:p w14:paraId="724DB98A" w14:textId="181FEBB4" w:rsidR="00CE3CF1" w:rsidRPr="00341304" w:rsidRDefault="001E5443" w:rsidP="00D824D6">
      <w:pPr>
        <w:spacing w:line="276" w:lineRule="auto"/>
        <w:jc w:val="center"/>
        <w:rPr>
          <w:rFonts w:ascii="Arial" w:hAnsi="Arial" w:cs="Arial"/>
          <w:b/>
          <w:i/>
          <w:sz w:val="20"/>
          <w:szCs w:val="20"/>
        </w:rPr>
      </w:pPr>
      <w:r w:rsidRPr="00341304">
        <w:rPr>
          <w:rFonts w:ascii="Arial" w:hAnsi="Arial" w:cs="Arial"/>
          <w:b/>
          <w:i/>
          <w:sz w:val="20"/>
          <w:szCs w:val="20"/>
        </w:rPr>
        <w:t>Twelfth-grade students</w:t>
      </w:r>
      <w:r w:rsidR="000E0687" w:rsidRPr="00EE3074">
        <w:rPr>
          <w:rFonts w:ascii="Arial" w:hAnsi="Arial" w:cs="Arial"/>
          <w:b/>
          <w:i/>
          <w:sz w:val="20"/>
          <w:szCs w:val="20"/>
        </w:rPr>
        <w:t>’</w:t>
      </w:r>
      <w:r w:rsidRPr="00341304">
        <w:rPr>
          <w:rFonts w:ascii="Arial" w:hAnsi="Arial" w:cs="Arial"/>
          <w:b/>
          <w:i/>
          <w:sz w:val="20"/>
          <w:szCs w:val="20"/>
        </w:rPr>
        <w:t xml:space="preserve"> scores decline in </w:t>
      </w:r>
      <w:r w:rsidR="00E60F32" w:rsidRPr="00341304">
        <w:rPr>
          <w:rFonts w:ascii="Arial" w:hAnsi="Arial" w:cs="Arial"/>
          <w:b/>
          <w:i/>
          <w:sz w:val="20"/>
          <w:szCs w:val="20"/>
        </w:rPr>
        <w:t>m</w:t>
      </w:r>
      <w:r w:rsidRPr="00341304">
        <w:rPr>
          <w:rFonts w:ascii="Arial" w:hAnsi="Arial" w:cs="Arial"/>
          <w:b/>
          <w:i/>
          <w:sz w:val="20"/>
          <w:szCs w:val="20"/>
        </w:rPr>
        <w:t>ath</w:t>
      </w:r>
      <w:r w:rsidR="00EC6187" w:rsidRPr="00341304">
        <w:rPr>
          <w:rFonts w:ascii="Arial" w:hAnsi="Arial" w:cs="Arial"/>
          <w:b/>
          <w:i/>
          <w:sz w:val="20"/>
          <w:szCs w:val="20"/>
        </w:rPr>
        <w:t>ematics</w:t>
      </w:r>
      <w:r w:rsidR="000E0687" w:rsidRPr="00341304">
        <w:rPr>
          <w:rFonts w:ascii="Arial" w:hAnsi="Arial" w:cs="Arial"/>
          <w:b/>
          <w:i/>
          <w:sz w:val="20"/>
          <w:szCs w:val="20"/>
        </w:rPr>
        <w:t>,</w:t>
      </w:r>
      <w:r w:rsidRPr="00341304">
        <w:rPr>
          <w:rFonts w:ascii="Arial" w:hAnsi="Arial" w:cs="Arial"/>
          <w:b/>
          <w:i/>
          <w:sz w:val="20"/>
          <w:szCs w:val="20"/>
        </w:rPr>
        <w:t xml:space="preserve"> </w:t>
      </w:r>
      <w:r w:rsidR="000E0687" w:rsidRPr="00341304">
        <w:rPr>
          <w:rFonts w:ascii="Arial" w:hAnsi="Arial" w:cs="Arial"/>
          <w:b/>
          <w:i/>
          <w:sz w:val="20"/>
          <w:szCs w:val="20"/>
        </w:rPr>
        <w:t xml:space="preserve">hold steady in reading </w:t>
      </w:r>
      <w:r w:rsidRPr="00341304">
        <w:rPr>
          <w:rFonts w:ascii="Arial" w:hAnsi="Arial" w:cs="Arial"/>
          <w:b/>
          <w:i/>
          <w:sz w:val="20"/>
          <w:szCs w:val="20"/>
        </w:rPr>
        <w:t>from 2013</w:t>
      </w:r>
    </w:p>
    <w:p w14:paraId="2AD3CA9C" w14:textId="7C929C35" w:rsidR="00CE3CF1" w:rsidRPr="00341304" w:rsidRDefault="00CE3CF1" w:rsidP="00D824D6">
      <w:pPr>
        <w:spacing w:after="200" w:line="276" w:lineRule="auto"/>
        <w:rPr>
          <w:rFonts w:ascii="Arial" w:hAnsi="Arial" w:cs="Arial"/>
          <w:sz w:val="20"/>
          <w:szCs w:val="20"/>
        </w:rPr>
      </w:pPr>
      <w:r w:rsidRPr="00341304">
        <w:rPr>
          <w:rFonts w:ascii="Arial" w:hAnsi="Arial" w:cs="Arial"/>
          <w:sz w:val="20"/>
          <w:szCs w:val="20"/>
        </w:rPr>
        <w:t>WASHINGTON—</w:t>
      </w:r>
      <w:r w:rsidR="001E5443" w:rsidRPr="00341304">
        <w:rPr>
          <w:rFonts w:ascii="Arial" w:hAnsi="Arial" w:cs="Arial"/>
          <w:sz w:val="20"/>
          <w:szCs w:val="20"/>
        </w:rPr>
        <w:t>Average twelfth-grade mathematics scores are lower in 2015 than 2013</w:t>
      </w:r>
      <w:r w:rsidR="00104D43" w:rsidRPr="00341304">
        <w:rPr>
          <w:rFonts w:ascii="Arial" w:hAnsi="Arial" w:cs="Arial"/>
          <w:sz w:val="20"/>
          <w:szCs w:val="20"/>
        </w:rPr>
        <w:t>,</w:t>
      </w:r>
      <w:r w:rsidR="001E5443" w:rsidRPr="00341304">
        <w:rPr>
          <w:rFonts w:ascii="Arial" w:hAnsi="Arial" w:cs="Arial"/>
          <w:sz w:val="20"/>
          <w:szCs w:val="20"/>
        </w:rPr>
        <w:t xml:space="preserve"> and the average score in reading has not changed during this</w:t>
      </w:r>
      <w:r w:rsidR="00104D43" w:rsidRPr="00341304">
        <w:rPr>
          <w:rFonts w:ascii="Arial" w:hAnsi="Arial" w:cs="Arial"/>
          <w:sz w:val="20"/>
          <w:szCs w:val="20"/>
        </w:rPr>
        <w:t xml:space="preserve"> time period</w:t>
      </w:r>
      <w:r w:rsidR="001E5443" w:rsidRPr="00341304">
        <w:rPr>
          <w:rFonts w:ascii="Arial" w:hAnsi="Arial" w:cs="Arial"/>
          <w:sz w:val="20"/>
          <w:szCs w:val="20"/>
        </w:rPr>
        <w:t xml:space="preserve"> according to The Nation’s Report Card released today. The national results are for both pub</w:t>
      </w:r>
      <w:r w:rsidR="00B4377C" w:rsidRPr="00341304">
        <w:rPr>
          <w:rFonts w:ascii="Arial" w:hAnsi="Arial" w:cs="Arial"/>
          <w:sz w:val="20"/>
          <w:szCs w:val="20"/>
        </w:rPr>
        <w:t>lic and private school students</w:t>
      </w:r>
      <w:r w:rsidR="00104D43" w:rsidRPr="00341304">
        <w:rPr>
          <w:rFonts w:ascii="Arial" w:hAnsi="Arial" w:cs="Arial"/>
          <w:sz w:val="20"/>
          <w:szCs w:val="20"/>
        </w:rPr>
        <w:t xml:space="preserve">. </w:t>
      </w:r>
    </w:p>
    <w:p w14:paraId="1A1096AB" w14:textId="25C16F70" w:rsidR="00CE3CF1" w:rsidRPr="00DF1F57" w:rsidRDefault="00AB575D" w:rsidP="00D824D6">
      <w:pPr>
        <w:pStyle w:val="NormalWeb"/>
        <w:shd w:val="clear" w:color="auto" w:fill="FFFFFF"/>
        <w:spacing w:line="276" w:lineRule="auto"/>
        <w:rPr>
          <w:rFonts w:ascii="Arial" w:hAnsi="Arial" w:cs="Arial"/>
          <w:sz w:val="20"/>
          <w:szCs w:val="20"/>
        </w:rPr>
      </w:pPr>
      <w:r>
        <w:rPr>
          <w:rFonts w:ascii="Arial" w:hAnsi="Arial" w:cs="Arial"/>
          <w:sz w:val="20"/>
          <w:szCs w:val="20"/>
          <w:shd w:val="clear" w:color="auto" w:fill="FFFFFF"/>
        </w:rPr>
        <w:t xml:space="preserve">The results also show that the </w:t>
      </w:r>
      <w:r w:rsidR="00845011">
        <w:rPr>
          <w:rFonts w:ascii="Arial" w:hAnsi="Arial" w:cs="Arial"/>
          <w:sz w:val="20"/>
          <w:szCs w:val="20"/>
          <w:shd w:val="clear" w:color="auto" w:fill="FFFFFF"/>
        </w:rPr>
        <w:t>scores</w:t>
      </w:r>
      <w:r>
        <w:rPr>
          <w:rFonts w:ascii="Arial" w:hAnsi="Arial" w:cs="Arial"/>
          <w:sz w:val="20"/>
          <w:szCs w:val="20"/>
          <w:shd w:val="clear" w:color="auto" w:fill="FFFFFF"/>
        </w:rPr>
        <w:t xml:space="preserve"> of students </w:t>
      </w:r>
      <w:r w:rsidR="00845011">
        <w:rPr>
          <w:rFonts w:ascii="Arial" w:hAnsi="Arial" w:cs="Arial"/>
          <w:sz w:val="20"/>
          <w:szCs w:val="20"/>
          <w:shd w:val="clear" w:color="auto" w:fill="FFFFFF"/>
        </w:rPr>
        <w:t xml:space="preserve">at the tenth and twenty-fifth percentiles </w:t>
      </w:r>
      <w:r w:rsidR="002B2ACC">
        <w:rPr>
          <w:rFonts w:ascii="Arial" w:hAnsi="Arial" w:cs="Arial"/>
          <w:sz w:val="20"/>
          <w:szCs w:val="20"/>
          <w:shd w:val="clear" w:color="auto" w:fill="FFFFFF"/>
        </w:rPr>
        <w:t>decline</w:t>
      </w:r>
      <w:r>
        <w:rPr>
          <w:rFonts w:ascii="Arial" w:hAnsi="Arial" w:cs="Arial"/>
          <w:sz w:val="20"/>
          <w:szCs w:val="20"/>
          <w:shd w:val="clear" w:color="auto" w:fill="FFFFFF"/>
        </w:rPr>
        <w:t>d</w:t>
      </w:r>
      <w:r w:rsidR="002B2ACC">
        <w:rPr>
          <w:rFonts w:ascii="Arial" w:hAnsi="Arial" w:cs="Arial"/>
          <w:sz w:val="20"/>
          <w:szCs w:val="20"/>
          <w:shd w:val="clear" w:color="auto" w:fill="FFFFFF"/>
        </w:rPr>
        <w:t xml:space="preserve"> </w:t>
      </w:r>
      <w:r w:rsidR="00DF1F57">
        <w:rPr>
          <w:rFonts w:ascii="Arial" w:hAnsi="Arial" w:cs="Arial"/>
          <w:sz w:val="20"/>
          <w:szCs w:val="20"/>
          <w:shd w:val="clear" w:color="auto" w:fill="FFFFFF"/>
        </w:rPr>
        <w:t>in both mathematics and reading</w:t>
      </w:r>
      <w:r w:rsidR="00845011">
        <w:rPr>
          <w:rFonts w:ascii="Arial" w:hAnsi="Arial" w:cs="Arial"/>
          <w:sz w:val="20"/>
          <w:szCs w:val="20"/>
          <w:shd w:val="clear" w:color="auto" w:fill="FFFFFF"/>
        </w:rPr>
        <w:t xml:space="preserve"> from </w:t>
      </w:r>
      <w:r w:rsidR="002B2ACC">
        <w:rPr>
          <w:rFonts w:ascii="Arial" w:hAnsi="Arial" w:cs="Arial"/>
          <w:sz w:val="20"/>
          <w:szCs w:val="20"/>
          <w:shd w:val="clear" w:color="auto" w:fill="FFFFFF"/>
        </w:rPr>
        <w:t xml:space="preserve">2015 from 2013. </w:t>
      </w:r>
      <w:r>
        <w:rPr>
          <w:rFonts w:ascii="Arial" w:hAnsi="Arial" w:cs="Arial"/>
          <w:sz w:val="20"/>
          <w:szCs w:val="20"/>
        </w:rPr>
        <w:t xml:space="preserve">The percentage of twelfth-grade students performing below </w:t>
      </w:r>
      <w:r w:rsidRPr="00DF1F57">
        <w:rPr>
          <w:rFonts w:ascii="Arial" w:hAnsi="Arial" w:cs="Arial"/>
          <w:i/>
          <w:sz w:val="20"/>
          <w:szCs w:val="20"/>
        </w:rPr>
        <w:t>Basic</w:t>
      </w:r>
      <w:r>
        <w:rPr>
          <w:rFonts w:ascii="Arial" w:hAnsi="Arial" w:cs="Arial"/>
          <w:i/>
          <w:sz w:val="20"/>
          <w:szCs w:val="20"/>
        </w:rPr>
        <w:t xml:space="preserve"> </w:t>
      </w:r>
      <w:r>
        <w:rPr>
          <w:rFonts w:ascii="Arial" w:hAnsi="Arial" w:cs="Arial"/>
          <w:sz w:val="20"/>
          <w:szCs w:val="20"/>
        </w:rPr>
        <w:t>was higher in both subjects in 2015 compared to 2013.</w:t>
      </w:r>
      <w:r w:rsidR="00D703A9">
        <w:rPr>
          <w:rFonts w:ascii="Arial" w:hAnsi="Arial" w:cs="Arial"/>
          <w:sz w:val="20"/>
          <w:szCs w:val="20"/>
        </w:rPr>
        <w:t xml:space="preserve"> </w:t>
      </w:r>
      <w:r w:rsidR="00DF1F57">
        <w:rPr>
          <w:rFonts w:ascii="Arial" w:hAnsi="Arial" w:cs="Arial"/>
          <w:sz w:val="20"/>
          <w:szCs w:val="20"/>
          <w:shd w:val="clear" w:color="auto" w:fill="FFFFFF"/>
        </w:rPr>
        <w:t xml:space="preserve">The percentage of twelfth-grade students performing at or above </w:t>
      </w:r>
      <w:r w:rsidR="00DF1F57" w:rsidRPr="00DF1F57">
        <w:rPr>
          <w:rFonts w:ascii="Arial" w:hAnsi="Arial" w:cs="Arial"/>
          <w:i/>
          <w:sz w:val="20"/>
          <w:szCs w:val="20"/>
          <w:shd w:val="clear" w:color="auto" w:fill="FFFFFF"/>
        </w:rPr>
        <w:t>Proficient</w:t>
      </w:r>
      <w:r w:rsidR="00DF1F57">
        <w:rPr>
          <w:rFonts w:ascii="Arial" w:hAnsi="Arial" w:cs="Arial"/>
          <w:i/>
          <w:sz w:val="20"/>
          <w:szCs w:val="20"/>
          <w:shd w:val="clear" w:color="auto" w:fill="FFFFFF"/>
        </w:rPr>
        <w:t xml:space="preserve"> </w:t>
      </w:r>
      <w:r w:rsidR="00DF1F57">
        <w:rPr>
          <w:rFonts w:ascii="Arial" w:hAnsi="Arial" w:cs="Arial"/>
          <w:sz w:val="20"/>
          <w:szCs w:val="20"/>
          <w:shd w:val="clear" w:color="auto" w:fill="FFFFFF"/>
        </w:rPr>
        <w:t>in mathematics and reading</w:t>
      </w:r>
      <w:r w:rsidR="00DF1F57">
        <w:rPr>
          <w:rFonts w:ascii="Arial" w:hAnsi="Arial" w:cs="Arial"/>
          <w:sz w:val="20"/>
          <w:szCs w:val="20"/>
        </w:rPr>
        <w:t xml:space="preserve"> was not significantly different in 2015</w:t>
      </w:r>
      <w:r w:rsidR="00DF1F57" w:rsidRPr="00DF1F57">
        <w:rPr>
          <w:rFonts w:ascii="Arial" w:hAnsi="Arial" w:cs="Arial"/>
          <w:sz w:val="20"/>
          <w:szCs w:val="20"/>
        </w:rPr>
        <w:t xml:space="preserve"> </w:t>
      </w:r>
      <w:r w:rsidR="00DF1F57">
        <w:rPr>
          <w:rFonts w:ascii="Arial" w:hAnsi="Arial" w:cs="Arial"/>
          <w:sz w:val="20"/>
          <w:szCs w:val="20"/>
        </w:rPr>
        <w:t xml:space="preserve">compared to 2013. </w:t>
      </w:r>
      <w:r w:rsidR="00845011">
        <w:rPr>
          <w:rFonts w:ascii="Arial" w:hAnsi="Arial" w:cs="Arial"/>
          <w:sz w:val="20"/>
          <w:szCs w:val="20"/>
        </w:rPr>
        <w:t xml:space="preserve">The score improved for twelfth graders at the ninetieth percentile in reading. </w:t>
      </w:r>
    </w:p>
    <w:p w14:paraId="0970E95A" w14:textId="085D6FF9" w:rsidR="00B06605" w:rsidRPr="00341304" w:rsidRDefault="00B06605" w:rsidP="00D824D6">
      <w:pPr>
        <w:spacing w:before="120" w:line="276" w:lineRule="auto"/>
        <w:rPr>
          <w:rFonts w:ascii="Arial" w:hAnsi="Arial" w:cs="Arial"/>
          <w:sz w:val="20"/>
          <w:szCs w:val="20"/>
        </w:rPr>
      </w:pPr>
      <w:r w:rsidRPr="00341304">
        <w:rPr>
          <w:rFonts w:ascii="Arial" w:hAnsi="Arial" w:cs="Arial"/>
          <w:sz w:val="20"/>
          <w:szCs w:val="20"/>
        </w:rPr>
        <w:t>“Math scores have declined over the last two years</w:t>
      </w:r>
      <w:r w:rsidR="000E0687" w:rsidRPr="00341304">
        <w:rPr>
          <w:rFonts w:ascii="Arial" w:hAnsi="Arial" w:cs="Arial"/>
          <w:sz w:val="20"/>
          <w:szCs w:val="20"/>
        </w:rPr>
        <w:t xml:space="preserve"> at grade 12</w:t>
      </w:r>
      <w:r w:rsidRPr="00341304">
        <w:rPr>
          <w:rFonts w:ascii="Arial" w:hAnsi="Arial" w:cs="Arial"/>
          <w:sz w:val="20"/>
          <w:szCs w:val="20"/>
        </w:rPr>
        <w:t xml:space="preserve">, </w:t>
      </w:r>
      <w:r w:rsidR="000E0687" w:rsidRPr="00341304">
        <w:rPr>
          <w:rFonts w:ascii="Arial" w:hAnsi="Arial" w:cs="Arial"/>
          <w:sz w:val="20"/>
          <w:szCs w:val="20"/>
        </w:rPr>
        <w:t>mirroring the declines we saw at grades 4 and 8,</w:t>
      </w:r>
      <w:r w:rsidRPr="00341304">
        <w:rPr>
          <w:rFonts w:ascii="Arial" w:hAnsi="Arial" w:cs="Arial"/>
          <w:sz w:val="20"/>
          <w:szCs w:val="20"/>
        </w:rPr>
        <w:t>” said N</w:t>
      </w:r>
      <w:r w:rsidR="00237A77" w:rsidRPr="00341304">
        <w:rPr>
          <w:rFonts w:ascii="Arial" w:hAnsi="Arial" w:cs="Arial"/>
          <w:sz w:val="20"/>
          <w:szCs w:val="20"/>
        </w:rPr>
        <w:t xml:space="preserve">ational Center for Education Statistics (NCES) </w:t>
      </w:r>
      <w:r w:rsidRPr="00341304">
        <w:rPr>
          <w:rFonts w:ascii="Arial" w:hAnsi="Arial" w:cs="Arial"/>
          <w:sz w:val="20"/>
          <w:szCs w:val="20"/>
        </w:rPr>
        <w:t>Acting Commissioner Peggy Carr. “</w:t>
      </w:r>
      <w:r w:rsidR="00DF1F57">
        <w:rPr>
          <w:rFonts w:ascii="Arial" w:hAnsi="Arial" w:cs="Arial"/>
          <w:sz w:val="20"/>
          <w:szCs w:val="20"/>
        </w:rPr>
        <w:t>We’re seeing that while lower performing students have score declines</w:t>
      </w:r>
      <w:r w:rsidR="006A5FBF">
        <w:rPr>
          <w:rFonts w:ascii="Arial" w:hAnsi="Arial" w:cs="Arial"/>
          <w:sz w:val="20"/>
          <w:szCs w:val="20"/>
        </w:rPr>
        <w:t xml:space="preserve"> in both subjects</w:t>
      </w:r>
      <w:r w:rsidR="00DF1F57">
        <w:rPr>
          <w:rFonts w:ascii="Arial" w:hAnsi="Arial" w:cs="Arial"/>
          <w:sz w:val="20"/>
          <w:szCs w:val="20"/>
        </w:rPr>
        <w:t xml:space="preserve">, </w:t>
      </w:r>
      <w:r w:rsidR="00AB575D">
        <w:rPr>
          <w:rFonts w:ascii="Arial" w:hAnsi="Arial" w:cs="Arial"/>
          <w:sz w:val="20"/>
          <w:szCs w:val="20"/>
        </w:rPr>
        <w:t xml:space="preserve">the </w:t>
      </w:r>
      <w:r w:rsidR="00DF1F57">
        <w:rPr>
          <w:rFonts w:ascii="Arial" w:hAnsi="Arial" w:cs="Arial"/>
          <w:sz w:val="20"/>
          <w:szCs w:val="20"/>
        </w:rPr>
        <w:t>highe</w:t>
      </w:r>
      <w:r w:rsidR="00AB575D">
        <w:rPr>
          <w:rFonts w:ascii="Arial" w:hAnsi="Arial" w:cs="Arial"/>
          <w:sz w:val="20"/>
          <w:szCs w:val="20"/>
        </w:rPr>
        <w:t>st</w:t>
      </w:r>
      <w:r w:rsidR="00DF1F57">
        <w:rPr>
          <w:rFonts w:ascii="Arial" w:hAnsi="Arial" w:cs="Arial"/>
          <w:sz w:val="20"/>
          <w:szCs w:val="20"/>
        </w:rPr>
        <w:t xml:space="preserve"> performing students are making gains</w:t>
      </w:r>
      <w:r w:rsidR="00AB575D">
        <w:rPr>
          <w:rFonts w:ascii="Arial" w:hAnsi="Arial" w:cs="Arial"/>
          <w:sz w:val="20"/>
          <w:szCs w:val="20"/>
        </w:rPr>
        <w:t xml:space="preserve"> in reading</w:t>
      </w:r>
      <w:r w:rsidR="00DF1F57">
        <w:rPr>
          <w:rFonts w:ascii="Arial" w:hAnsi="Arial" w:cs="Arial"/>
          <w:sz w:val="20"/>
          <w:szCs w:val="20"/>
        </w:rPr>
        <w:t>.</w:t>
      </w:r>
      <w:r w:rsidRPr="00341304">
        <w:rPr>
          <w:rFonts w:ascii="Arial" w:hAnsi="Arial" w:cs="Arial"/>
          <w:sz w:val="20"/>
          <w:szCs w:val="20"/>
        </w:rPr>
        <w:t xml:space="preserve">” </w:t>
      </w:r>
    </w:p>
    <w:p w14:paraId="4BB4E342" w14:textId="33A3C3C6" w:rsidR="00D824D6" w:rsidRPr="00341304" w:rsidRDefault="00B06605" w:rsidP="00D824D6">
      <w:pPr>
        <w:spacing w:after="0" w:line="276" w:lineRule="auto"/>
        <w:ind w:right="-20"/>
        <w:rPr>
          <w:rFonts w:ascii="Arial" w:hAnsi="Arial" w:cs="Arial"/>
          <w:sz w:val="20"/>
          <w:szCs w:val="20"/>
        </w:rPr>
      </w:pPr>
      <w:r w:rsidRPr="00341304">
        <w:rPr>
          <w:rFonts w:ascii="Arial" w:hAnsi="Arial" w:cs="Arial"/>
          <w:sz w:val="20"/>
          <w:szCs w:val="20"/>
          <w:shd w:val="clear" w:color="auto" w:fill="FFFFFF"/>
        </w:rPr>
        <w:t>The National Assessment of Educational Progress (NAEP)—also known as The Nation's Report Card—is</w:t>
      </w:r>
      <w:r w:rsidRPr="00341304">
        <w:rPr>
          <w:rFonts w:ascii="Arial" w:hAnsi="Arial" w:cs="Arial"/>
          <w:sz w:val="20"/>
          <w:szCs w:val="20"/>
        </w:rPr>
        <w:t xml:space="preserve"> the largest nationally representative​ and continuing assessment of what students in the United States know and can do in various subject areas. It is </w:t>
      </w:r>
      <w:r w:rsidR="00AB575D">
        <w:rPr>
          <w:rFonts w:ascii="Arial" w:hAnsi="Arial" w:cs="Arial"/>
          <w:sz w:val="20"/>
          <w:szCs w:val="20"/>
        </w:rPr>
        <w:t>known</w:t>
      </w:r>
      <w:r w:rsidRPr="00341304">
        <w:rPr>
          <w:rFonts w:ascii="Arial" w:hAnsi="Arial" w:cs="Arial"/>
          <w:sz w:val="20"/>
          <w:szCs w:val="20"/>
        </w:rPr>
        <w:t xml:space="preserve"> as the </w:t>
      </w:r>
      <w:r w:rsidR="00AF08B6" w:rsidRPr="00341304">
        <w:rPr>
          <w:rFonts w:ascii="Arial" w:hAnsi="Arial" w:cs="Arial"/>
          <w:sz w:val="20"/>
          <w:szCs w:val="20"/>
        </w:rPr>
        <w:t>“</w:t>
      </w:r>
      <w:r w:rsidRPr="00341304">
        <w:rPr>
          <w:rFonts w:ascii="Arial" w:hAnsi="Arial" w:cs="Arial"/>
          <w:sz w:val="20"/>
          <w:szCs w:val="20"/>
        </w:rPr>
        <w:t>gold standard</w:t>
      </w:r>
      <w:r w:rsidR="00AF08B6" w:rsidRPr="00341304">
        <w:rPr>
          <w:rFonts w:ascii="Arial" w:hAnsi="Arial" w:cs="Arial"/>
          <w:sz w:val="20"/>
          <w:szCs w:val="20"/>
        </w:rPr>
        <w:t>”</w:t>
      </w:r>
      <w:r w:rsidRPr="00341304">
        <w:rPr>
          <w:rFonts w:ascii="Arial" w:hAnsi="Arial" w:cs="Arial"/>
          <w:sz w:val="20"/>
          <w:szCs w:val="20"/>
        </w:rPr>
        <w:t xml:space="preserve"> of </w:t>
      </w:r>
      <w:r w:rsidR="000E0687" w:rsidRPr="00341304">
        <w:rPr>
          <w:rFonts w:ascii="Arial" w:hAnsi="Arial" w:cs="Arial"/>
          <w:sz w:val="20"/>
          <w:szCs w:val="20"/>
        </w:rPr>
        <w:t xml:space="preserve">large-scale </w:t>
      </w:r>
      <w:r w:rsidRPr="00341304">
        <w:rPr>
          <w:rFonts w:ascii="Arial" w:hAnsi="Arial" w:cs="Arial"/>
          <w:sz w:val="20"/>
          <w:szCs w:val="20"/>
        </w:rPr>
        <w:t>student assessments.</w:t>
      </w:r>
      <w:r w:rsidR="00004A05" w:rsidRPr="00341304">
        <w:rPr>
          <w:rFonts w:ascii="Arial" w:hAnsi="Arial" w:cs="Arial"/>
          <w:sz w:val="20"/>
          <w:szCs w:val="20"/>
        </w:rPr>
        <w:t xml:space="preserve">  </w:t>
      </w:r>
    </w:p>
    <w:p w14:paraId="757F3257" w14:textId="77777777" w:rsidR="00D824D6" w:rsidRPr="00341304" w:rsidRDefault="00D824D6" w:rsidP="00D824D6">
      <w:pPr>
        <w:spacing w:after="0" w:line="276" w:lineRule="auto"/>
        <w:ind w:right="-20"/>
        <w:rPr>
          <w:rFonts w:ascii="Arial" w:hAnsi="Arial" w:cs="Arial"/>
          <w:sz w:val="20"/>
          <w:szCs w:val="20"/>
        </w:rPr>
      </w:pPr>
    </w:p>
    <w:p w14:paraId="2BBB2BDE" w14:textId="5726E434" w:rsidR="00B06605" w:rsidRPr="00341304" w:rsidRDefault="00DF1F57" w:rsidP="00D824D6">
      <w:pPr>
        <w:spacing w:after="0" w:line="276" w:lineRule="auto"/>
        <w:ind w:right="-20"/>
      </w:pPr>
      <w:r w:rsidRPr="00341304">
        <w:rPr>
          <w:rFonts w:ascii="Arial" w:hAnsi="Arial" w:cs="Arial"/>
          <w:sz w:val="20"/>
          <w:szCs w:val="20"/>
        </w:rPr>
        <w:t xml:space="preserve">NAEP is administered by the National Center for Education Statistics. </w:t>
      </w:r>
      <w:r w:rsidR="00237A77" w:rsidRPr="00341304">
        <w:rPr>
          <w:rFonts w:ascii="Arial" w:hAnsi="Arial" w:cs="Arial"/>
          <w:sz w:val="20"/>
          <w:szCs w:val="20"/>
        </w:rPr>
        <w:t xml:space="preserve">Between </w:t>
      </w:r>
      <w:r w:rsidR="0066349F" w:rsidRPr="00341304">
        <w:rPr>
          <w:rFonts w:ascii="Arial" w:hAnsi="Arial" w:cs="Arial"/>
          <w:sz w:val="20"/>
          <w:szCs w:val="20"/>
        </w:rPr>
        <w:t xml:space="preserve">January </w:t>
      </w:r>
      <w:r w:rsidR="00237A77" w:rsidRPr="00341304">
        <w:rPr>
          <w:rFonts w:ascii="Arial" w:hAnsi="Arial" w:cs="Arial"/>
          <w:sz w:val="20"/>
          <w:szCs w:val="20"/>
        </w:rPr>
        <w:t xml:space="preserve">and </w:t>
      </w:r>
      <w:r w:rsidR="0066349F" w:rsidRPr="00341304">
        <w:rPr>
          <w:rFonts w:ascii="Arial" w:hAnsi="Arial" w:cs="Arial"/>
          <w:sz w:val="20"/>
          <w:szCs w:val="20"/>
        </w:rPr>
        <w:t xml:space="preserve">March </w:t>
      </w:r>
      <w:r w:rsidR="00004A05" w:rsidRPr="00341304">
        <w:rPr>
          <w:rFonts w:ascii="Arial" w:hAnsi="Arial" w:cs="Arial"/>
          <w:sz w:val="20"/>
          <w:szCs w:val="20"/>
        </w:rPr>
        <w:t>2015</w:t>
      </w:r>
      <w:r w:rsidR="0066349F" w:rsidRPr="00341304">
        <w:rPr>
          <w:rFonts w:ascii="Arial" w:hAnsi="Arial" w:cs="Arial"/>
          <w:sz w:val="20"/>
          <w:szCs w:val="20"/>
        </w:rPr>
        <w:t>,</w:t>
      </w:r>
      <w:r w:rsidR="00004A05" w:rsidRPr="00341304">
        <w:rPr>
          <w:rFonts w:ascii="Arial" w:hAnsi="Arial" w:cs="Arial"/>
          <w:sz w:val="20"/>
          <w:szCs w:val="20"/>
        </w:rPr>
        <w:t xml:space="preserve"> </w:t>
      </w:r>
      <w:r w:rsidR="0066349F" w:rsidRPr="00341304">
        <w:rPr>
          <w:rFonts w:ascii="Arial" w:hAnsi="Arial" w:cs="Arial"/>
          <w:sz w:val="20"/>
          <w:szCs w:val="20"/>
        </w:rPr>
        <w:t xml:space="preserve">NAEP </w:t>
      </w:r>
      <w:r w:rsidR="00004A05" w:rsidRPr="00341304">
        <w:rPr>
          <w:rFonts w:ascii="Arial" w:hAnsi="Arial" w:cs="Arial"/>
          <w:sz w:val="20"/>
          <w:szCs w:val="20"/>
        </w:rPr>
        <w:t>math</w:t>
      </w:r>
      <w:r w:rsidR="00AF08B6" w:rsidRPr="00341304">
        <w:rPr>
          <w:rFonts w:ascii="Arial" w:hAnsi="Arial" w:cs="Arial"/>
          <w:sz w:val="20"/>
          <w:szCs w:val="20"/>
        </w:rPr>
        <w:t>ematics</w:t>
      </w:r>
      <w:r w:rsidR="00004A05" w:rsidRPr="00341304">
        <w:rPr>
          <w:rFonts w:ascii="Arial" w:hAnsi="Arial" w:cs="Arial"/>
          <w:sz w:val="20"/>
          <w:szCs w:val="20"/>
        </w:rPr>
        <w:t xml:space="preserve"> and reading assessments </w:t>
      </w:r>
      <w:r w:rsidR="00004A05" w:rsidRPr="00341304">
        <w:rPr>
          <w:rFonts w:ascii="Arial" w:eastAsia="Times New Roman" w:hAnsi="Arial" w:cs="Arial"/>
          <w:sz w:val="20"/>
          <w:szCs w:val="20"/>
        </w:rPr>
        <w:t>were</w:t>
      </w:r>
      <w:r w:rsidR="00004A05" w:rsidRPr="00341304">
        <w:rPr>
          <w:rFonts w:ascii="Arial" w:eastAsia="Times New Roman" w:hAnsi="Arial" w:cs="Arial"/>
          <w:spacing w:val="-3"/>
          <w:sz w:val="20"/>
          <w:szCs w:val="20"/>
        </w:rPr>
        <w:t xml:space="preserve"> </w:t>
      </w:r>
      <w:r w:rsidR="0066349F" w:rsidRPr="00341304">
        <w:rPr>
          <w:rFonts w:ascii="Arial" w:eastAsia="Times New Roman" w:hAnsi="Arial" w:cs="Arial"/>
          <w:sz w:val="20"/>
          <w:szCs w:val="20"/>
        </w:rPr>
        <w:t xml:space="preserve">administered </w:t>
      </w:r>
      <w:r w:rsidR="00004A05" w:rsidRPr="00341304">
        <w:rPr>
          <w:rFonts w:ascii="Arial" w:eastAsia="Times New Roman" w:hAnsi="Arial" w:cs="Arial"/>
          <w:sz w:val="20"/>
          <w:szCs w:val="20"/>
        </w:rPr>
        <w:t>to approximately 31,900</w:t>
      </w:r>
      <w:r w:rsidR="00004A05" w:rsidRPr="00341304">
        <w:rPr>
          <w:rFonts w:ascii="Arial" w:eastAsia="Times New Roman" w:hAnsi="Arial" w:cs="Arial"/>
          <w:spacing w:val="-1"/>
          <w:sz w:val="20"/>
          <w:szCs w:val="20"/>
        </w:rPr>
        <w:t xml:space="preserve"> </w:t>
      </w:r>
      <w:r w:rsidR="00004A05" w:rsidRPr="00341304">
        <w:rPr>
          <w:rFonts w:ascii="Arial" w:eastAsia="Times New Roman" w:hAnsi="Arial" w:cs="Arial"/>
          <w:sz w:val="20"/>
          <w:szCs w:val="20"/>
        </w:rPr>
        <w:t>twelfth-graders</w:t>
      </w:r>
      <w:r w:rsidR="00004A05" w:rsidRPr="00341304">
        <w:rPr>
          <w:rFonts w:ascii="Arial" w:eastAsia="Times New Roman" w:hAnsi="Arial" w:cs="Arial"/>
          <w:spacing w:val="-5"/>
          <w:sz w:val="20"/>
          <w:szCs w:val="20"/>
        </w:rPr>
        <w:t xml:space="preserve"> </w:t>
      </w:r>
      <w:r w:rsidR="00004A05" w:rsidRPr="00341304">
        <w:rPr>
          <w:rFonts w:ascii="Arial" w:eastAsia="Times New Roman" w:hAnsi="Arial" w:cs="Arial"/>
          <w:sz w:val="20"/>
          <w:szCs w:val="20"/>
        </w:rPr>
        <w:t>in</w:t>
      </w:r>
      <w:r w:rsidR="00004A05" w:rsidRPr="00341304">
        <w:rPr>
          <w:rFonts w:ascii="Arial" w:eastAsia="Times New Roman" w:hAnsi="Arial" w:cs="Arial"/>
          <w:spacing w:val="-1"/>
          <w:sz w:val="20"/>
          <w:szCs w:val="20"/>
        </w:rPr>
        <w:t xml:space="preserve"> </w:t>
      </w:r>
      <w:r w:rsidR="00004A05" w:rsidRPr="00341304">
        <w:rPr>
          <w:rFonts w:ascii="Arial" w:eastAsia="Times New Roman" w:hAnsi="Arial" w:cs="Arial"/>
          <w:sz w:val="20"/>
          <w:szCs w:val="20"/>
        </w:rPr>
        <w:t>public</w:t>
      </w:r>
      <w:r w:rsidR="00004A05" w:rsidRPr="00341304">
        <w:rPr>
          <w:rFonts w:ascii="Arial" w:eastAsia="Times New Roman" w:hAnsi="Arial" w:cs="Arial"/>
          <w:spacing w:val="-6"/>
          <w:sz w:val="20"/>
          <w:szCs w:val="20"/>
        </w:rPr>
        <w:t xml:space="preserve"> </w:t>
      </w:r>
      <w:r w:rsidR="00004A05" w:rsidRPr="00341304">
        <w:rPr>
          <w:rFonts w:ascii="Arial" w:eastAsia="Times New Roman" w:hAnsi="Arial" w:cs="Arial"/>
          <w:sz w:val="20"/>
          <w:szCs w:val="20"/>
        </w:rPr>
        <w:t>and private</w:t>
      </w:r>
      <w:r w:rsidR="00004A05" w:rsidRPr="00341304">
        <w:rPr>
          <w:rFonts w:ascii="Arial" w:eastAsia="Times New Roman" w:hAnsi="Arial" w:cs="Arial"/>
          <w:spacing w:val="-7"/>
          <w:sz w:val="20"/>
          <w:szCs w:val="20"/>
        </w:rPr>
        <w:t xml:space="preserve"> </w:t>
      </w:r>
      <w:r w:rsidR="00004A05" w:rsidRPr="00341304">
        <w:rPr>
          <w:rFonts w:ascii="Arial" w:eastAsia="Times New Roman" w:hAnsi="Arial" w:cs="Arial"/>
          <w:sz w:val="20"/>
          <w:szCs w:val="20"/>
        </w:rPr>
        <w:t>schools</w:t>
      </w:r>
      <w:r w:rsidR="00004A05" w:rsidRPr="00341304">
        <w:rPr>
          <w:rFonts w:ascii="Arial" w:eastAsia="Times New Roman" w:hAnsi="Arial" w:cs="Arial"/>
          <w:spacing w:val="-5"/>
          <w:sz w:val="20"/>
          <w:szCs w:val="20"/>
        </w:rPr>
        <w:t xml:space="preserve"> </w:t>
      </w:r>
      <w:r w:rsidR="00004A05" w:rsidRPr="00341304">
        <w:rPr>
          <w:rFonts w:ascii="Arial" w:eastAsia="Times New Roman" w:hAnsi="Arial" w:cs="Arial"/>
          <w:sz w:val="20"/>
          <w:szCs w:val="20"/>
        </w:rPr>
        <w:t>representing</w:t>
      </w:r>
      <w:r w:rsidR="00004A05" w:rsidRPr="00341304">
        <w:rPr>
          <w:rFonts w:ascii="Arial" w:eastAsia="Times New Roman" w:hAnsi="Arial" w:cs="Arial"/>
          <w:spacing w:val="-1"/>
          <w:sz w:val="20"/>
          <w:szCs w:val="20"/>
        </w:rPr>
        <w:t xml:space="preserve"> </w:t>
      </w:r>
      <w:r w:rsidR="00004A05" w:rsidRPr="00341304">
        <w:rPr>
          <w:rFonts w:ascii="Arial" w:eastAsia="Times New Roman" w:hAnsi="Arial" w:cs="Arial"/>
          <w:sz w:val="20"/>
          <w:szCs w:val="20"/>
        </w:rPr>
        <w:t>all</w:t>
      </w:r>
      <w:r w:rsidR="00004A05" w:rsidRPr="00341304">
        <w:rPr>
          <w:rFonts w:ascii="Arial" w:eastAsia="Times New Roman" w:hAnsi="Arial" w:cs="Arial"/>
          <w:spacing w:val="-2"/>
          <w:sz w:val="20"/>
          <w:szCs w:val="20"/>
        </w:rPr>
        <w:t xml:space="preserve"> </w:t>
      </w:r>
      <w:r w:rsidR="00004A05" w:rsidRPr="00341304">
        <w:rPr>
          <w:rFonts w:ascii="Arial" w:eastAsia="Times New Roman" w:hAnsi="Arial" w:cs="Arial"/>
          <w:sz w:val="20"/>
          <w:szCs w:val="20"/>
        </w:rPr>
        <w:t>50 states,</w:t>
      </w:r>
      <w:r w:rsidR="00004A05" w:rsidRPr="00341304">
        <w:rPr>
          <w:rFonts w:ascii="Arial" w:eastAsia="Times New Roman" w:hAnsi="Arial" w:cs="Arial"/>
          <w:spacing w:val="-3"/>
          <w:sz w:val="20"/>
          <w:szCs w:val="20"/>
        </w:rPr>
        <w:t xml:space="preserve"> </w:t>
      </w:r>
      <w:r w:rsidR="00004A05" w:rsidRPr="00341304">
        <w:rPr>
          <w:rFonts w:ascii="Arial" w:eastAsia="Times New Roman" w:hAnsi="Arial" w:cs="Arial"/>
          <w:sz w:val="20"/>
          <w:szCs w:val="20"/>
        </w:rPr>
        <w:t>the</w:t>
      </w:r>
      <w:r w:rsidR="00004A05" w:rsidRPr="00341304">
        <w:rPr>
          <w:rFonts w:ascii="Arial" w:eastAsia="Times New Roman" w:hAnsi="Arial" w:cs="Arial"/>
          <w:spacing w:val="-3"/>
          <w:sz w:val="20"/>
          <w:szCs w:val="20"/>
        </w:rPr>
        <w:t xml:space="preserve"> </w:t>
      </w:r>
      <w:r w:rsidR="00004A05" w:rsidRPr="00341304">
        <w:rPr>
          <w:rFonts w:ascii="Arial" w:eastAsia="Times New Roman" w:hAnsi="Arial" w:cs="Arial"/>
          <w:sz w:val="20"/>
          <w:szCs w:val="20"/>
        </w:rPr>
        <w:t>District</w:t>
      </w:r>
      <w:r w:rsidR="00004A05" w:rsidRPr="00341304">
        <w:rPr>
          <w:rFonts w:ascii="Arial" w:eastAsia="Times New Roman" w:hAnsi="Arial" w:cs="Arial"/>
          <w:spacing w:val="-5"/>
          <w:sz w:val="20"/>
          <w:szCs w:val="20"/>
        </w:rPr>
        <w:t xml:space="preserve"> </w:t>
      </w:r>
      <w:r w:rsidR="00004A05" w:rsidRPr="00341304">
        <w:rPr>
          <w:rFonts w:ascii="Arial" w:eastAsia="Times New Roman" w:hAnsi="Arial" w:cs="Arial"/>
          <w:sz w:val="20"/>
          <w:szCs w:val="20"/>
        </w:rPr>
        <w:t>of Columbia,</w:t>
      </w:r>
      <w:r w:rsidR="00004A05" w:rsidRPr="00341304">
        <w:rPr>
          <w:rFonts w:ascii="Arial" w:eastAsia="Times New Roman" w:hAnsi="Arial" w:cs="Arial"/>
          <w:spacing w:val="-9"/>
          <w:sz w:val="20"/>
          <w:szCs w:val="20"/>
        </w:rPr>
        <w:t xml:space="preserve"> </w:t>
      </w:r>
      <w:r w:rsidR="00004A05" w:rsidRPr="00341304">
        <w:rPr>
          <w:rFonts w:ascii="Arial" w:eastAsia="Times New Roman" w:hAnsi="Arial" w:cs="Arial"/>
          <w:sz w:val="20"/>
          <w:szCs w:val="20"/>
        </w:rPr>
        <w:t>and</w:t>
      </w:r>
      <w:r w:rsidR="00004A05" w:rsidRPr="00341304">
        <w:rPr>
          <w:rFonts w:ascii="Arial" w:eastAsia="Times New Roman" w:hAnsi="Arial" w:cs="Arial"/>
          <w:spacing w:val="-1"/>
          <w:sz w:val="20"/>
          <w:szCs w:val="20"/>
        </w:rPr>
        <w:t xml:space="preserve"> </w:t>
      </w:r>
      <w:r w:rsidR="005948FB" w:rsidRPr="00341304">
        <w:rPr>
          <w:rFonts w:ascii="Arial" w:eastAsia="Times New Roman" w:hAnsi="Arial" w:cs="Arial"/>
          <w:spacing w:val="-1"/>
          <w:sz w:val="20"/>
          <w:szCs w:val="20"/>
        </w:rPr>
        <w:t xml:space="preserve">the </w:t>
      </w:r>
      <w:r w:rsidR="00004A05" w:rsidRPr="00341304">
        <w:rPr>
          <w:rFonts w:ascii="Arial" w:eastAsia="Times New Roman" w:hAnsi="Arial" w:cs="Arial"/>
          <w:sz w:val="20"/>
          <w:szCs w:val="20"/>
        </w:rPr>
        <w:t>U.S. Department</w:t>
      </w:r>
      <w:r w:rsidR="00004A05" w:rsidRPr="00341304">
        <w:rPr>
          <w:rFonts w:ascii="Arial" w:eastAsia="Times New Roman" w:hAnsi="Arial" w:cs="Arial"/>
          <w:spacing w:val="-10"/>
          <w:sz w:val="20"/>
          <w:szCs w:val="20"/>
        </w:rPr>
        <w:t xml:space="preserve"> </w:t>
      </w:r>
      <w:r w:rsidR="00004A05" w:rsidRPr="00341304">
        <w:rPr>
          <w:rFonts w:ascii="Arial" w:eastAsia="Times New Roman" w:hAnsi="Arial" w:cs="Arial"/>
          <w:sz w:val="20"/>
          <w:szCs w:val="20"/>
        </w:rPr>
        <w:t>of Defense.</w:t>
      </w:r>
      <w:r w:rsidR="00004A05" w:rsidRPr="00341304">
        <w:rPr>
          <w:rFonts w:ascii="Arial" w:eastAsia="Times New Roman" w:hAnsi="Arial" w:cs="Arial"/>
          <w:spacing w:val="-5"/>
          <w:sz w:val="20"/>
          <w:szCs w:val="20"/>
        </w:rPr>
        <w:t xml:space="preserve"> </w:t>
      </w:r>
      <w:r w:rsidR="000E0687" w:rsidRPr="00341304">
        <w:rPr>
          <w:rFonts w:ascii="Arial" w:eastAsia="Times New Roman" w:hAnsi="Arial" w:cs="Arial"/>
          <w:sz w:val="20"/>
          <w:szCs w:val="20"/>
        </w:rPr>
        <w:t xml:space="preserve">Participants </w:t>
      </w:r>
      <w:r w:rsidR="0066349F" w:rsidRPr="00341304">
        <w:rPr>
          <w:rFonts w:ascii="Arial" w:eastAsia="Times New Roman" w:hAnsi="Arial" w:cs="Arial"/>
          <w:sz w:val="20"/>
          <w:szCs w:val="20"/>
        </w:rPr>
        <w:t>were only assessed in one subject</w:t>
      </w:r>
      <w:r w:rsidR="00341304" w:rsidRPr="00341304">
        <w:rPr>
          <w:rFonts w:ascii="Arial" w:hAnsi="Arial" w:cs="Arial"/>
          <w:sz w:val="20"/>
          <w:szCs w:val="20"/>
        </w:rPr>
        <w:t>.</w:t>
      </w:r>
      <w:r w:rsidR="00004A05" w:rsidRPr="00341304">
        <w:rPr>
          <w:rFonts w:ascii="Arial" w:hAnsi="Arial" w:cs="Arial"/>
          <w:sz w:val="20"/>
          <w:szCs w:val="20"/>
        </w:rPr>
        <w:t xml:space="preserve"> </w:t>
      </w:r>
    </w:p>
    <w:p w14:paraId="468EABA8" w14:textId="77777777" w:rsidR="005806E1" w:rsidRPr="00341304" w:rsidRDefault="005806E1" w:rsidP="00D824D6">
      <w:pPr>
        <w:spacing w:before="120" w:line="276" w:lineRule="auto"/>
        <w:rPr>
          <w:rFonts w:ascii="Arial" w:hAnsi="Arial" w:cs="Arial"/>
          <w:sz w:val="20"/>
          <w:szCs w:val="20"/>
        </w:rPr>
      </w:pPr>
      <w:r w:rsidRPr="00341304">
        <w:rPr>
          <w:rFonts w:ascii="Arial" w:hAnsi="Arial" w:cs="Arial"/>
          <w:b/>
          <w:sz w:val="20"/>
          <w:szCs w:val="20"/>
        </w:rPr>
        <w:t>Mathematics</w:t>
      </w:r>
      <w:r w:rsidR="00CE3CF1" w:rsidRPr="00341304">
        <w:rPr>
          <w:rFonts w:ascii="Arial" w:hAnsi="Arial" w:cs="Arial"/>
          <w:b/>
          <w:sz w:val="20"/>
          <w:szCs w:val="20"/>
        </w:rPr>
        <w:t xml:space="preserve"> Results</w:t>
      </w:r>
      <w:r w:rsidRPr="00341304">
        <w:rPr>
          <w:rFonts w:ascii="Arial" w:hAnsi="Arial" w:cs="Arial"/>
          <w:sz w:val="20"/>
          <w:szCs w:val="20"/>
        </w:rPr>
        <w:t xml:space="preserve"> </w:t>
      </w:r>
    </w:p>
    <w:p w14:paraId="6A5C14DC" w14:textId="39785CA5" w:rsidR="00B2037A" w:rsidRDefault="005806E1" w:rsidP="00D824D6">
      <w:pPr>
        <w:spacing w:before="120" w:line="276" w:lineRule="auto"/>
        <w:rPr>
          <w:rFonts w:ascii="Arial" w:hAnsi="Arial" w:cs="Arial"/>
          <w:sz w:val="20"/>
          <w:szCs w:val="20"/>
          <w:shd w:val="clear" w:color="auto" w:fill="FFFFFF"/>
        </w:rPr>
      </w:pPr>
      <w:r w:rsidRPr="00341304">
        <w:rPr>
          <w:rFonts w:ascii="Arial" w:hAnsi="Arial" w:cs="Arial"/>
          <w:sz w:val="20"/>
          <w:szCs w:val="20"/>
        </w:rPr>
        <w:t>In 2015, the average scale score of all students who took the NAEP mathematics assessment was 152. This was a decrease from 2013, when the average scale score for all students was 153.</w:t>
      </w:r>
      <w:r w:rsidR="00A4076B" w:rsidRPr="00341304">
        <w:rPr>
          <w:rFonts w:ascii="Arial" w:hAnsi="Arial" w:cs="Arial"/>
          <w:sz w:val="20"/>
          <w:szCs w:val="20"/>
        </w:rPr>
        <w:t xml:space="preserve"> Scores for b</w:t>
      </w:r>
      <w:r w:rsidR="00B2037A" w:rsidRPr="00341304">
        <w:rPr>
          <w:rFonts w:ascii="Arial" w:hAnsi="Arial" w:cs="Arial"/>
          <w:sz w:val="20"/>
          <w:szCs w:val="20"/>
        </w:rPr>
        <w:t>oth male</w:t>
      </w:r>
      <w:r w:rsidR="00A4076B" w:rsidRPr="00341304">
        <w:rPr>
          <w:rFonts w:ascii="Arial" w:hAnsi="Arial" w:cs="Arial"/>
          <w:sz w:val="20"/>
          <w:szCs w:val="20"/>
        </w:rPr>
        <w:t>s</w:t>
      </w:r>
      <w:r w:rsidR="00B2037A" w:rsidRPr="00341304">
        <w:rPr>
          <w:rFonts w:ascii="Arial" w:hAnsi="Arial" w:cs="Arial"/>
          <w:sz w:val="20"/>
          <w:szCs w:val="20"/>
        </w:rPr>
        <w:t xml:space="preserve"> and female</w:t>
      </w:r>
      <w:r w:rsidR="00A4076B" w:rsidRPr="00341304">
        <w:rPr>
          <w:rFonts w:ascii="Arial" w:hAnsi="Arial" w:cs="Arial"/>
          <w:sz w:val="20"/>
          <w:szCs w:val="20"/>
        </w:rPr>
        <w:t>s</w:t>
      </w:r>
      <w:r w:rsidR="00B2037A" w:rsidRPr="00341304">
        <w:rPr>
          <w:rFonts w:ascii="Arial" w:hAnsi="Arial" w:cs="Arial"/>
          <w:sz w:val="20"/>
          <w:szCs w:val="20"/>
        </w:rPr>
        <w:t xml:space="preserve"> d</w:t>
      </w:r>
      <w:r w:rsidR="000E0687" w:rsidRPr="00341304">
        <w:rPr>
          <w:rFonts w:ascii="Arial" w:hAnsi="Arial" w:cs="Arial"/>
          <w:sz w:val="20"/>
          <w:szCs w:val="20"/>
        </w:rPr>
        <w:t>eclined</w:t>
      </w:r>
      <w:r w:rsidR="00B2037A" w:rsidRPr="00341304">
        <w:rPr>
          <w:rFonts w:ascii="Arial" w:hAnsi="Arial" w:cs="Arial"/>
          <w:sz w:val="20"/>
          <w:szCs w:val="20"/>
        </w:rPr>
        <w:t xml:space="preserve">. </w:t>
      </w:r>
      <w:r w:rsidR="00DF1F57" w:rsidRPr="00341304">
        <w:rPr>
          <w:rFonts w:ascii="Arial" w:hAnsi="Arial" w:cs="Arial"/>
          <w:sz w:val="20"/>
          <w:szCs w:val="20"/>
          <w:shd w:val="clear" w:color="auto" w:fill="FFFFFF"/>
        </w:rPr>
        <w:t>There was no significant difference in mathematics scores in 2015 from the first assessment year in 2005 for twelfth-graders in mathematics.</w:t>
      </w:r>
    </w:p>
    <w:p w14:paraId="69FF27A7" w14:textId="77777777" w:rsidR="00A14F1B" w:rsidRDefault="00A14F1B" w:rsidP="00A14F1B">
      <w:pPr>
        <w:spacing w:line="276" w:lineRule="auto"/>
        <w:jc w:val="center"/>
        <w:rPr>
          <w:rFonts w:ascii="Arial" w:hAnsi="Arial" w:cs="Arial"/>
          <w:sz w:val="16"/>
          <w:szCs w:val="20"/>
          <w:shd w:val="clear" w:color="auto" w:fill="FFFFFF"/>
        </w:rPr>
      </w:pPr>
    </w:p>
    <w:p w14:paraId="7CA11638" w14:textId="77777777" w:rsidR="00A14F1B" w:rsidRDefault="00A14F1B" w:rsidP="00A14F1B">
      <w:pPr>
        <w:spacing w:line="276" w:lineRule="auto"/>
        <w:jc w:val="center"/>
        <w:rPr>
          <w:rFonts w:ascii="Arial" w:hAnsi="Arial" w:cs="Arial"/>
          <w:sz w:val="16"/>
          <w:szCs w:val="20"/>
          <w:shd w:val="clear" w:color="auto" w:fill="FFFFFF"/>
        </w:rPr>
      </w:pPr>
    </w:p>
    <w:p w14:paraId="4ADE5968" w14:textId="77777777" w:rsidR="00A14F1B" w:rsidRDefault="00A14F1B" w:rsidP="00A14F1B">
      <w:pPr>
        <w:spacing w:line="276" w:lineRule="auto"/>
        <w:jc w:val="center"/>
        <w:rPr>
          <w:rFonts w:ascii="Arial" w:hAnsi="Arial" w:cs="Arial"/>
          <w:sz w:val="16"/>
          <w:szCs w:val="20"/>
          <w:shd w:val="clear" w:color="auto" w:fill="FFFFFF"/>
        </w:rPr>
      </w:pPr>
    </w:p>
    <w:p w14:paraId="4F18B662" w14:textId="77777777" w:rsidR="00A14F1B" w:rsidRDefault="00A14F1B" w:rsidP="00A14F1B">
      <w:pPr>
        <w:spacing w:line="276" w:lineRule="auto"/>
        <w:jc w:val="center"/>
        <w:rPr>
          <w:rFonts w:ascii="Arial" w:hAnsi="Arial" w:cs="Arial"/>
          <w:sz w:val="16"/>
          <w:szCs w:val="20"/>
          <w:shd w:val="clear" w:color="auto" w:fill="FFFFFF"/>
        </w:rPr>
      </w:pPr>
    </w:p>
    <w:p w14:paraId="0219B202" w14:textId="77777777" w:rsidR="00A14F1B" w:rsidRDefault="00A14F1B" w:rsidP="00A14F1B">
      <w:pPr>
        <w:spacing w:line="276" w:lineRule="auto"/>
        <w:jc w:val="center"/>
        <w:rPr>
          <w:rFonts w:ascii="Arial" w:hAnsi="Arial" w:cs="Arial"/>
          <w:sz w:val="16"/>
          <w:szCs w:val="20"/>
          <w:shd w:val="clear" w:color="auto" w:fill="FFFFFF"/>
        </w:rPr>
      </w:pPr>
    </w:p>
    <w:p w14:paraId="2ECEB97D" w14:textId="77777777" w:rsidR="00A14F1B" w:rsidRDefault="00A14F1B" w:rsidP="00A14F1B">
      <w:pPr>
        <w:spacing w:line="276" w:lineRule="auto"/>
        <w:jc w:val="center"/>
        <w:rPr>
          <w:rFonts w:ascii="Arial" w:hAnsi="Arial" w:cs="Arial"/>
          <w:sz w:val="16"/>
          <w:szCs w:val="20"/>
          <w:shd w:val="clear" w:color="auto" w:fill="FFFFFF"/>
        </w:rPr>
      </w:pPr>
    </w:p>
    <w:p w14:paraId="4BAEC42F" w14:textId="77777777" w:rsidR="00A14F1B" w:rsidRDefault="00A14F1B" w:rsidP="00A14F1B">
      <w:pPr>
        <w:spacing w:line="276" w:lineRule="auto"/>
        <w:jc w:val="center"/>
        <w:rPr>
          <w:rFonts w:ascii="Arial" w:hAnsi="Arial" w:cs="Arial"/>
          <w:sz w:val="16"/>
          <w:szCs w:val="20"/>
          <w:shd w:val="clear" w:color="auto" w:fill="FFFFFF"/>
        </w:rPr>
      </w:pPr>
    </w:p>
    <w:p w14:paraId="0AA90C67" w14:textId="77777777" w:rsidR="00A14F1B" w:rsidRDefault="00A14F1B" w:rsidP="00A14F1B">
      <w:pPr>
        <w:spacing w:line="276" w:lineRule="auto"/>
        <w:jc w:val="center"/>
        <w:rPr>
          <w:rFonts w:ascii="Arial" w:hAnsi="Arial" w:cs="Arial"/>
          <w:sz w:val="16"/>
          <w:szCs w:val="20"/>
          <w:shd w:val="clear" w:color="auto" w:fill="FFFFFF"/>
        </w:rPr>
      </w:pPr>
    </w:p>
    <w:p w14:paraId="78C156C1" w14:textId="124D9048" w:rsidR="00A14F1B" w:rsidRPr="00A14F1B" w:rsidRDefault="00A14F1B" w:rsidP="00A14F1B">
      <w:pPr>
        <w:spacing w:line="276" w:lineRule="auto"/>
        <w:jc w:val="center"/>
        <w:rPr>
          <w:rFonts w:ascii="Arial" w:hAnsi="Arial" w:cs="Arial"/>
          <w:sz w:val="20"/>
          <w:szCs w:val="20"/>
          <w:shd w:val="clear" w:color="auto" w:fill="FFFFFF"/>
        </w:rPr>
      </w:pPr>
      <w:r w:rsidRPr="00A14F1B">
        <w:rPr>
          <w:rFonts w:ascii="Arial" w:hAnsi="Arial" w:cs="Arial"/>
          <w:sz w:val="20"/>
          <w:szCs w:val="20"/>
          <w:shd w:val="clear" w:color="auto" w:fill="FFFFFF"/>
        </w:rPr>
        <w:t>Average scores for twelfth-graders on NAEP mathematics assessment from first assessment year</w:t>
      </w:r>
    </w:p>
    <w:p w14:paraId="341506C9" w14:textId="3C9FD85B" w:rsidR="00B06605" w:rsidRPr="00341304" w:rsidRDefault="007D0576" w:rsidP="00D824D6">
      <w:pPr>
        <w:spacing w:line="276" w:lineRule="auto"/>
        <w:jc w:val="center"/>
        <w:rPr>
          <w:rFonts w:ascii="Arial" w:hAnsi="Arial" w:cs="Arial"/>
          <w:sz w:val="18"/>
          <w:szCs w:val="20"/>
          <w:shd w:val="clear" w:color="auto" w:fill="FFFFFF"/>
        </w:rPr>
      </w:pPr>
      <w:bookmarkStart w:id="0" w:name="_GoBack"/>
      <w:r>
        <w:rPr>
          <w:rFonts w:ascii="Arial" w:hAnsi="Arial" w:cs="Arial"/>
          <w:noProof/>
          <w:sz w:val="18"/>
          <w:szCs w:val="20"/>
          <w:shd w:val="clear" w:color="auto" w:fill="FFFFFF"/>
        </w:rPr>
        <w:drawing>
          <wp:inline distT="0" distB="0" distL="0" distR="0" wp14:anchorId="5B3BF32C" wp14:editId="253EA7C4">
            <wp:extent cx="4514850" cy="2544910"/>
            <wp:effectExtent l="0" t="0" r="0" b="8255"/>
            <wp:docPr id="1" name="Picture 1" descr="In 2015, the average scale score of all students who took the NAEP mathematics assessment was 152. This was a decrease from 2013, when the average scale score for all students was 153. Scores for both males and females declined. There was no significant difference in mathematics scores in 2015 from the first assessment year in 2005 for twelfth-graders in mathematics." title="Chart Showing Average scores for twelfth-graders on NAEP mathematics assessment from first assessmen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s_chart.jpg"/>
                    <pic:cNvPicPr/>
                  </pic:nvPicPr>
                  <pic:blipFill>
                    <a:blip r:embed="rId8">
                      <a:extLst>
                        <a:ext uri="{28A0092B-C50C-407E-A947-70E740481C1C}">
                          <a14:useLocalDpi xmlns:a14="http://schemas.microsoft.com/office/drawing/2010/main" val="0"/>
                        </a:ext>
                      </a:extLst>
                    </a:blip>
                    <a:stretch>
                      <a:fillRect/>
                    </a:stretch>
                  </pic:blipFill>
                  <pic:spPr>
                    <a:xfrm>
                      <a:off x="0" y="0"/>
                      <a:ext cx="4536258" cy="2556977"/>
                    </a:xfrm>
                    <a:prstGeom prst="rect">
                      <a:avLst/>
                    </a:prstGeom>
                  </pic:spPr>
                </pic:pic>
              </a:graphicData>
            </a:graphic>
          </wp:inline>
        </w:drawing>
      </w:r>
      <w:bookmarkEnd w:id="0"/>
    </w:p>
    <w:p w14:paraId="3B8CF9FF" w14:textId="3ACA925B" w:rsidR="009224A7" w:rsidRPr="00341304" w:rsidRDefault="00DA0B80" w:rsidP="00D824D6">
      <w:pPr>
        <w:spacing w:before="120" w:line="276" w:lineRule="auto"/>
        <w:rPr>
          <w:rFonts w:ascii="Arial" w:hAnsi="Arial" w:cs="Arial"/>
          <w:iCs/>
          <w:sz w:val="20"/>
          <w:szCs w:val="20"/>
          <w:shd w:val="clear" w:color="auto" w:fill="FFFFFF"/>
        </w:rPr>
      </w:pPr>
      <w:r w:rsidRPr="00341304">
        <w:rPr>
          <w:rFonts w:ascii="Arial" w:hAnsi="Arial" w:cs="Arial"/>
          <w:iCs/>
          <w:sz w:val="20"/>
          <w:szCs w:val="20"/>
          <w:shd w:val="clear" w:color="auto" w:fill="FFFFFF"/>
        </w:rPr>
        <w:t xml:space="preserve">Student performance is reported </w:t>
      </w:r>
      <w:r w:rsidR="00004A05" w:rsidRPr="00341304">
        <w:rPr>
          <w:rFonts w:ascii="Arial" w:hAnsi="Arial" w:cs="Arial"/>
          <w:iCs/>
          <w:sz w:val="20"/>
          <w:szCs w:val="20"/>
          <w:shd w:val="clear" w:color="auto" w:fill="FFFFFF"/>
        </w:rPr>
        <w:t xml:space="preserve">using </w:t>
      </w:r>
      <w:r w:rsidR="00A17494" w:rsidRPr="00341304">
        <w:rPr>
          <w:rFonts w:ascii="Arial" w:hAnsi="Arial" w:cs="Arial"/>
          <w:iCs/>
          <w:sz w:val="20"/>
          <w:szCs w:val="20"/>
          <w:shd w:val="clear" w:color="auto" w:fill="FFFFFF"/>
        </w:rPr>
        <w:t>average scale scores</w:t>
      </w:r>
      <w:r w:rsidR="00075F9E" w:rsidRPr="00341304">
        <w:rPr>
          <w:rFonts w:ascii="Arial" w:hAnsi="Arial" w:cs="Arial"/>
          <w:iCs/>
          <w:sz w:val="20"/>
          <w:szCs w:val="20"/>
          <w:shd w:val="clear" w:color="auto" w:fill="FFFFFF"/>
        </w:rPr>
        <w:t>,</w:t>
      </w:r>
      <w:r w:rsidRPr="00341304">
        <w:rPr>
          <w:rFonts w:ascii="Arial" w:hAnsi="Arial" w:cs="Arial"/>
          <w:iCs/>
          <w:sz w:val="20"/>
          <w:szCs w:val="20"/>
          <w:shd w:val="clear" w:color="auto" w:fill="FFFFFF"/>
        </w:rPr>
        <w:t xml:space="preserve"> which range from 0 to </w:t>
      </w:r>
      <w:r w:rsidR="00004A05" w:rsidRPr="00341304">
        <w:rPr>
          <w:rFonts w:ascii="Arial" w:hAnsi="Arial" w:cs="Arial"/>
          <w:iCs/>
          <w:sz w:val="20"/>
          <w:szCs w:val="20"/>
          <w:shd w:val="clear" w:color="auto" w:fill="FFFFFF"/>
        </w:rPr>
        <w:t>3</w:t>
      </w:r>
      <w:r w:rsidRPr="00341304">
        <w:rPr>
          <w:rFonts w:ascii="Arial" w:hAnsi="Arial" w:cs="Arial"/>
          <w:iCs/>
          <w:sz w:val="20"/>
          <w:szCs w:val="20"/>
          <w:shd w:val="clear" w:color="auto" w:fill="FFFFFF"/>
        </w:rPr>
        <w:t>00</w:t>
      </w:r>
      <w:r w:rsidR="006A5FBF">
        <w:rPr>
          <w:rFonts w:ascii="Arial" w:hAnsi="Arial" w:cs="Arial"/>
          <w:iCs/>
          <w:sz w:val="20"/>
          <w:szCs w:val="20"/>
          <w:shd w:val="clear" w:color="auto" w:fill="FFFFFF"/>
        </w:rPr>
        <w:t xml:space="preserve"> for mathematics, and 0 to 500 for reading,</w:t>
      </w:r>
      <w:r w:rsidR="00075F9E" w:rsidRPr="00341304">
        <w:rPr>
          <w:rFonts w:ascii="Arial" w:hAnsi="Arial" w:cs="Arial"/>
          <w:iCs/>
          <w:sz w:val="20"/>
          <w:szCs w:val="20"/>
          <w:shd w:val="clear" w:color="auto" w:fill="FFFFFF"/>
        </w:rPr>
        <w:t xml:space="preserve"> </w:t>
      </w:r>
      <w:r w:rsidRPr="00341304">
        <w:rPr>
          <w:rFonts w:ascii="Arial" w:hAnsi="Arial" w:cs="Arial"/>
          <w:iCs/>
          <w:sz w:val="20"/>
          <w:szCs w:val="20"/>
          <w:shd w:val="clear" w:color="auto" w:fill="FFFFFF"/>
        </w:rPr>
        <w:t>as well as achievement levels</w:t>
      </w:r>
      <w:r w:rsidR="00004A05" w:rsidRPr="00341304">
        <w:rPr>
          <w:rFonts w:ascii="Arial" w:hAnsi="Arial" w:cs="Arial"/>
          <w:iCs/>
          <w:sz w:val="20"/>
          <w:szCs w:val="20"/>
          <w:shd w:val="clear" w:color="auto" w:fill="FFFFFF"/>
        </w:rPr>
        <w:t xml:space="preserve">. </w:t>
      </w:r>
      <w:r w:rsidR="009224A7" w:rsidRPr="00341304">
        <w:rPr>
          <w:rFonts w:ascii="Arial" w:hAnsi="Arial" w:cs="Arial"/>
          <w:sz w:val="20"/>
          <w:szCs w:val="20"/>
          <w:shd w:val="clear" w:color="auto" w:fill="FFFFFF"/>
        </w:rPr>
        <w:t xml:space="preserve">There are three NAEP achievement levels: </w:t>
      </w:r>
      <w:r w:rsidR="009224A7" w:rsidRPr="00341304">
        <w:rPr>
          <w:rFonts w:ascii="Arial" w:hAnsi="Arial" w:cs="Arial"/>
          <w:i/>
          <w:iCs/>
          <w:sz w:val="20"/>
          <w:szCs w:val="20"/>
          <w:shd w:val="clear" w:color="auto" w:fill="FFFFFF"/>
        </w:rPr>
        <w:t>Basic, Proficient</w:t>
      </w:r>
      <w:r w:rsidR="009224A7" w:rsidRPr="00341304">
        <w:rPr>
          <w:rFonts w:ascii="Arial" w:hAnsi="Arial" w:cs="Arial"/>
          <w:iCs/>
          <w:sz w:val="20"/>
          <w:szCs w:val="20"/>
          <w:shd w:val="clear" w:color="auto" w:fill="FFFFFF"/>
        </w:rPr>
        <w:t>,</w:t>
      </w:r>
      <w:r w:rsidR="009224A7" w:rsidRPr="00341304">
        <w:rPr>
          <w:rStyle w:val="apple-converted-space"/>
          <w:rFonts w:ascii="Arial" w:hAnsi="Arial" w:cs="Arial"/>
          <w:i/>
          <w:iCs/>
          <w:sz w:val="20"/>
          <w:szCs w:val="20"/>
          <w:shd w:val="clear" w:color="auto" w:fill="FFFFFF"/>
        </w:rPr>
        <w:t> </w:t>
      </w:r>
      <w:r w:rsidR="009224A7" w:rsidRPr="00341304">
        <w:rPr>
          <w:rFonts w:ascii="Arial" w:hAnsi="Arial" w:cs="Arial"/>
          <w:sz w:val="20"/>
          <w:szCs w:val="20"/>
          <w:shd w:val="clear" w:color="auto" w:fill="FFFFFF"/>
        </w:rPr>
        <w:t>and</w:t>
      </w:r>
      <w:r w:rsidR="009224A7" w:rsidRPr="00341304">
        <w:rPr>
          <w:rStyle w:val="apple-converted-space"/>
          <w:rFonts w:ascii="Arial" w:hAnsi="Arial" w:cs="Arial"/>
          <w:i/>
          <w:iCs/>
          <w:sz w:val="20"/>
          <w:szCs w:val="20"/>
          <w:shd w:val="clear" w:color="auto" w:fill="FFFFFF"/>
        </w:rPr>
        <w:t> </w:t>
      </w:r>
      <w:r w:rsidR="009224A7" w:rsidRPr="00341304">
        <w:rPr>
          <w:rFonts w:ascii="Arial" w:hAnsi="Arial" w:cs="Arial"/>
          <w:i/>
          <w:iCs/>
          <w:sz w:val="20"/>
          <w:szCs w:val="20"/>
          <w:shd w:val="clear" w:color="auto" w:fill="FFFFFF"/>
        </w:rPr>
        <w:t>Advanced</w:t>
      </w:r>
      <w:r w:rsidR="006A5FBF">
        <w:rPr>
          <w:rFonts w:ascii="Arial" w:hAnsi="Arial" w:cs="Arial"/>
          <w:iCs/>
          <w:sz w:val="20"/>
          <w:szCs w:val="20"/>
          <w:shd w:val="clear" w:color="auto" w:fill="FFFFFF"/>
        </w:rPr>
        <w:t>.</w:t>
      </w:r>
      <w:r w:rsidR="00B92075">
        <w:rPr>
          <w:rFonts w:ascii="Arial" w:hAnsi="Arial" w:cs="Arial"/>
          <w:iCs/>
          <w:sz w:val="20"/>
          <w:szCs w:val="20"/>
          <w:shd w:val="clear" w:color="auto" w:fill="FFFFFF"/>
        </w:rPr>
        <w:t xml:space="preserve"> Achievement levels are set by the Natio</w:t>
      </w:r>
      <w:r w:rsidR="006A5FBF">
        <w:rPr>
          <w:rFonts w:ascii="Arial" w:hAnsi="Arial" w:cs="Arial"/>
          <w:iCs/>
          <w:sz w:val="20"/>
          <w:szCs w:val="20"/>
          <w:shd w:val="clear" w:color="auto" w:fill="FFFFFF"/>
        </w:rPr>
        <w:t>nal Assessment Governing Board.</w:t>
      </w:r>
      <w:r w:rsidR="00B92075">
        <w:rPr>
          <w:rFonts w:ascii="Arial" w:hAnsi="Arial" w:cs="Arial"/>
          <w:iCs/>
          <w:sz w:val="20"/>
          <w:szCs w:val="20"/>
          <w:shd w:val="clear" w:color="auto" w:fill="FFFFFF"/>
        </w:rPr>
        <w:t xml:space="preserve"> </w:t>
      </w:r>
      <w:r w:rsidR="009224A7" w:rsidRPr="00341304">
        <w:rPr>
          <w:rFonts w:ascii="Arial" w:hAnsi="Arial" w:cs="Arial"/>
          <w:i/>
          <w:iCs/>
          <w:sz w:val="20"/>
          <w:szCs w:val="20"/>
          <w:shd w:val="clear" w:color="auto" w:fill="FFFFFF"/>
        </w:rPr>
        <w:t>Proficient</w:t>
      </w:r>
      <w:r w:rsidR="009224A7" w:rsidRPr="00341304">
        <w:rPr>
          <w:rFonts w:ascii="Arial" w:hAnsi="Arial" w:cs="Arial"/>
          <w:iCs/>
          <w:sz w:val="20"/>
          <w:szCs w:val="20"/>
          <w:shd w:val="clear" w:color="auto" w:fill="FFFFFF"/>
        </w:rPr>
        <w:t xml:space="preserve"> on the NAEP scale represents competency over challenging subject matter. </w:t>
      </w:r>
    </w:p>
    <w:p w14:paraId="2A5F74B2" w14:textId="0E921F12" w:rsidR="00020892" w:rsidRPr="00341304" w:rsidRDefault="009224A7" w:rsidP="00D824D6">
      <w:pPr>
        <w:spacing w:before="120" w:line="276" w:lineRule="auto"/>
        <w:rPr>
          <w:rFonts w:ascii="Arial" w:hAnsi="Arial" w:cs="Arial"/>
          <w:sz w:val="20"/>
          <w:szCs w:val="20"/>
        </w:rPr>
      </w:pPr>
      <w:r w:rsidRPr="00341304">
        <w:rPr>
          <w:rFonts w:ascii="Arial" w:hAnsi="Arial" w:cs="Arial"/>
          <w:sz w:val="20"/>
          <w:szCs w:val="20"/>
        </w:rPr>
        <w:t>The percentage of students performing at</w:t>
      </w:r>
      <w:r w:rsidR="00E54B69">
        <w:rPr>
          <w:rFonts w:ascii="Arial" w:hAnsi="Arial" w:cs="Arial"/>
          <w:sz w:val="20"/>
          <w:szCs w:val="20"/>
        </w:rPr>
        <w:t xml:space="preserve"> or </w:t>
      </w:r>
      <w:r w:rsidRPr="00341304">
        <w:rPr>
          <w:rFonts w:ascii="Arial" w:hAnsi="Arial" w:cs="Arial"/>
          <w:sz w:val="20"/>
          <w:szCs w:val="20"/>
        </w:rPr>
        <w:t xml:space="preserve">above </w:t>
      </w:r>
      <w:r w:rsidRPr="00341304">
        <w:rPr>
          <w:rFonts w:ascii="Arial" w:hAnsi="Arial" w:cs="Arial"/>
          <w:i/>
          <w:sz w:val="20"/>
          <w:szCs w:val="20"/>
        </w:rPr>
        <w:t>Proficient</w:t>
      </w:r>
      <w:r w:rsidRPr="00341304">
        <w:rPr>
          <w:rFonts w:ascii="Arial" w:hAnsi="Arial" w:cs="Arial"/>
          <w:sz w:val="20"/>
          <w:szCs w:val="20"/>
        </w:rPr>
        <w:t xml:space="preserve"> has not changed significantly compared to 2013, nor compared to the first assessment year, 2005. </w:t>
      </w:r>
      <w:r w:rsidR="00020892" w:rsidRPr="00341304">
        <w:rPr>
          <w:rFonts w:ascii="Arial" w:hAnsi="Arial" w:cs="Arial"/>
          <w:sz w:val="20"/>
          <w:szCs w:val="20"/>
        </w:rPr>
        <w:t xml:space="preserve">In 2015, the percentage of students scoring </w:t>
      </w:r>
      <w:r w:rsidR="00657D2E" w:rsidRPr="00341304">
        <w:rPr>
          <w:rFonts w:ascii="Arial" w:hAnsi="Arial" w:cs="Arial"/>
          <w:sz w:val="20"/>
          <w:szCs w:val="20"/>
        </w:rPr>
        <w:t xml:space="preserve">below </w:t>
      </w:r>
      <w:r w:rsidR="00020892" w:rsidRPr="00341304">
        <w:rPr>
          <w:rFonts w:ascii="Arial" w:hAnsi="Arial" w:cs="Arial"/>
          <w:i/>
          <w:sz w:val="20"/>
          <w:szCs w:val="20"/>
        </w:rPr>
        <w:t>Basic</w:t>
      </w:r>
      <w:r w:rsidR="00020892" w:rsidRPr="00341304">
        <w:rPr>
          <w:rFonts w:ascii="Arial" w:hAnsi="Arial" w:cs="Arial"/>
          <w:sz w:val="20"/>
          <w:szCs w:val="20"/>
        </w:rPr>
        <w:t xml:space="preserve"> increased to 38 percent (</w:t>
      </w:r>
      <w:r w:rsidR="00A17494" w:rsidRPr="00341304">
        <w:rPr>
          <w:rFonts w:ascii="Arial" w:hAnsi="Arial" w:cs="Arial"/>
          <w:sz w:val="20"/>
          <w:szCs w:val="20"/>
        </w:rPr>
        <w:t xml:space="preserve">from </w:t>
      </w:r>
      <w:r w:rsidR="00020892" w:rsidRPr="00341304">
        <w:rPr>
          <w:rFonts w:ascii="Arial" w:hAnsi="Arial" w:cs="Arial"/>
          <w:sz w:val="20"/>
          <w:szCs w:val="20"/>
        </w:rPr>
        <w:t xml:space="preserve">35 percent in 2013). </w:t>
      </w:r>
    </w:p>
    <w:p w14:paraId="2B0C87F6" w14:textId="0399A009" w:rsidR="00CE3CF1" w:rsidRPr="00341304" w:rsidRDefault="00CE3CF1" w:rsidP="00D824D6">
      <w:pPr>
        <w:spacing w:before="120" w:line="276" w:lineRule="auto"/>
        <w:rPr>
          <w:rFonts w:ascii="Arial" w:hAnsi="Arial" w:cs="Arial"/>
          <w:sz w:val="20"/>
          <w:szCs w:val="20"/>
        </w:rPr>
      </w:pPr>
      <w:r w:rsidRPr="00341304">
        <w:rPr>
          <w:rFonts w:ascii="Arial" w:hAnsi="Arial" w:cs="Arial"/>
          <w:sz w:val="20"/>
          <w:szCs w:val="20"/>
        </w:rPr>
        <w:t xml:space="preserve">The Nation’s Report Card also reports data by </w:t>
      </w:r>
      <w:r w:rsidR="00A17494" w:rsidRPr="00341304">
        <w:rPr>
          <w:rFonts w:ascii="Arial" w:hAnsi="Arial" w:cs="Arial"/>
          <w:sz w:val="20"/>
          <w:szCs w:val="20"/>
        </w:rPr>
        <w:t xml:space="preserve">various </w:t>
      </w:r>
      <w:r w:rsidR="00237A77" w:rsidRPr="00341304">
        <w:rPr>
          <w:rFonts w:ascii="Arial" w:hAnsi="Arial" w:cs="Arial"/>
          <w:sz w:val="20"/>
          <w:szCs w:val="20"/>
        </w:rPr>
        <w:t>racial and ethnic</w:t>
      </w:r>
      <w:r w:rsidRPr="00341304">
        <w:rPr>
          <w:rFonts w:ascii="Arial" w:hAnsi="Arial" w:cs="Arial"/>
          <w:sz w:val="20"/>
          <w:szCs w:val="20"/>
        </w:rPr>
        <w:t xml:space="preserve"> groups. </w:t>
      </w:r>
      <w:r w:rsidR="00A17494" w:rsidRPr="00341304">
        <w:rPr>
          <w:rFonts w:ascii="Arial" w:hAnsi="Arial" w:cs="Arial"/>
          <w:sz w:val="20"/>
          <w:szCs w:val="20"/>
        </w:rPr>
        <w:t>Compared to 2013, no significant change was seen in the 2015 average score for any racial/ethnic</w:t>
      </w:r>
      <w:r w:rsidR="00A17494" w:rsidRPr="00DF1F57">
        <w:rPr>
          <w:rFonts w:ascii="Arial" w:hAnsi="Arial" w:cs="Arial"/>
          <w:sz w:val="20"/>
          <w:szCs w:val="20"/>
        </w:rPr>
        <w:t xml:space="preserve"> group</w:t>
      </w:r>
      <w:r w:rsidR="00A17494" w:rsidRPr="00341304">
        <w:rPr>
          <w:rFonts w:ascii="Arial" w:hAnsi="Arial" w:cs="Arial"/>
          <w:sz w:val="20"/>
          <w:szCs w:val="20"/>
        </w:rPr>
        <w:t xml:space="preserve">.  </w:t>
      </w:r>
      <w:r w:rsidR="009224A7" w:rsidRPr="00341304">
        <w:rPr>
          <w:rFonts w:ascii="Arial" w:hAnsi="Arial" w:cs="Arial"/>
          <w:sz w:val="20"/>
          <w:szCs w:val="20"/>
        </w:rPr>
        <w:t xml:space="preserve">Compared to 2005, the first assessment year for mathematics, scores increased for White, Black, Hispanic, Asian/Pacific Islander students, and for students </w:t>
      </w:r>
      <w:r w:rsidR="009812B5" w:rsidRPr="00341304">
        <w:rPr>
          <w:rFonts w:ascii="Arial" w:hAnsi="Arial" w:cs="Arial"/>
          <w:sz w:val="20"/>
          <w:szCs w:val="20"/>
        </w:rPr>
        <w:t>of</w:t>
      </w:r>
      <w:r w:rsidR="009224A7" w:rsidRPr="00341304">
        <w:rPr>
          <w:rFonts w:ascii="Arial" w:hAnsi="Arial" w:cs="Arial"/>
          <w:sz w:val="20"/>
          <w:szCs w:val="20"/>
        </w:rPr>
        <w:t xml:space="preserve"> two or more races. </w:t>
      </w:r>
    </w:p>
    <w:p w14:paraId="1AC8C428" w14:textId="77777777" w:rsidR="009224A7" w:rsidRPr="00341304" w:rsidRDefault="009224A7" w:rsidP="00D824D6">
      <w:pPr>
        <w:spacing w:before="120" w:line="276" w:lineRule="auto"/>
        <w:rPr>
          <w:rFonts w:ascii="Arial" w:hAnsi="Arial" w:cs="Arial"/>
          <w:b/>
          <w:sz w:val="20"/>
          <w:szCs w:val="20"/>
        </w:rPr>
      </w:pPr>
      <w:r w:rsidRPr="00341304">
        <w:rPr>
          <w:rFonts w:ascii="Arial" w:hAnsi="Arial" w:cs="Arial"/>
          <w:b/>
          <w:sz w:val="20"/>
          <w:szCs w:val="20"/>
        </w:rPr>
        <w:t>Reading Results</w:t>
      </w:r>
    </w:p>
    <w:p w14:paraId="2319F991" w14:textId="3E61E49A" w:rsidR="009224A7" w:rsidRDefault="00E2151C" w:rsidP="00D824D6">
      <w:pPr>
        <w:spacing w:before="120" w:line="276" w:lineRule="auto"/>
        <w:rPr>
          <w:rFonts w:ascii="Arial" w:hAnsi="Arial" w:cs="Arial"/>
          <w:sz w:val="20"/>
          <w:szCs w:val="20"/>
        </w:rPr>
      </w:pPr>
      <w:r w:rsidRPr="00341304">
        <w:rPr>
          <w:rFonts w:ascii="Arial" w:hAnsi="Arial" w:cs="Arial"/>
          <w:sz w:val="20"/>
          <w:szCs w:val="20"/>
        </w:rPr>
        <w:t>R</w:t>
      </w:r>
      <w:r w:rsidR="00004A05" w:rsidRPr="00341304">
        <w:rPr>
          <w:rFonts w:ascii="Arial" w:hAnsi="Arial" w:cs="Arial"/>
          <w:sz w:val="20"/>
          <w:szCs w:val="20"/>
        </w:rPr>
        <w:t>eading performance is presented in both scale scores (</w:t>
      </w:r>
      <w:r w:rsidRPr="00341304">
        <w:rPr>
          <w:rFonts w:ascii="Arial" w:hAnsi="Arial" w:cs="Arial"/>
          <w:sz w:val="20"/>
          <w:szCs w:val="20"/>
        </w:rPr>
        <w:t xml:space="preserve">ranging from </w:t>
      </w:r>
      <w:r w:rsidR="00004A05" w:rsidRPr="00341304">
        <w:rPr>
          <w:rFonts w:ascii="Arial" w:hAnsi="Arial" w:cs="Arial"/>
          <w:sz w:val="20"/>
          <w:szCs w:val="20"/>
        </w:rPr>
        <w:t xml:space="preserve">0-500) and by achievement levels. </w:t>
      </w:r>
      <w:r w:rsidR="009224A7" w:rsidRPr="00341304">
        <w:rPr>
          <w:rFonts w:ascii="Arial" w:hAnsi="Arial" w:cs="Arial"/>
          <w:sz w:val="20"/>
          <w:szCs w:val="20"/>
        </w:rPr>
        <w:t>In 2015, twelfth-grade students had an average reading score of 287</w:t>
      </w:r>
      <w:r w:rsidR="00033897" w:rsidRPr="00341304">
        <w:rPr>
          <w:rFonts w:ascii="Arial" w:hAnsi="Arial" w:cs="Arial"/>
          <w:sz w:val="20"/>
          <w:szCs w:val="20"/>
        </w:rPr>
        <w:t xml:space="preserve">, </w:t>
      </w:r>
      <w:r w:rsidR="009224A7" w:rsidRPr="00341304">
        <w:rPr>
          <w:rFonts w:ascii="Arial" w:hAnsi="Arial" w:cs="Arial"/>
          <w:sz w:val="20"/>
          <w:szCs w:val="20"/>
        </w:rPr>
        <w:t>which was not significantly different from their score in 2013, but was lower than in 1992. Students at the 10th and 25th percentiles</w:t>
      </w:r>
      <w:r w:rsidR="00033897" w:rsidRPr="00341304">
        <w:rPr>
          <w:rFonts w:ascii="Arial" w:hAnsi="Arial" w:cs="Arial"/>
          <w:sz w:val="20"/>
          <w:szCs w:val="20"/>
        </w:rPr>
        <w:t xml:space="preserve"> (the lowest achieving students)</w:t>
      </w:r>
      <w:r w:rsidR="009224A7" w:rsidRPr="00341304">
        <w:rPr>
          <w:rFonts w:ascii="Arial" w:hAnsi="Arial" w:cs="Arial"/>
          <w:sz w:val="20"/>
          <w:szCs w:val="20"/>
        </w:rPr>
        <w:t xml:space="preserve"> </w:t>
      </w:r>
      <w:r w:rsidR="00A17E35" w:rsidRPr="00341304">
        <w:rPr>
          <w:rFonts w:ascii="Arial" w:hAnsi="Arial" w:cs="Arial"/>
          <w:sz w:val="20"/>
          <w:szCs w:val="20"/>
        </w:rPr>
        <w:t>scored</w:t>
      </w:r>
      <w:r w:rsidR="00033897" w:rsidRPr="00341304">
        <w:rPr>
          <w:rFonts w:ascii="Arial" w:hAnsi="Arial" w:cs="Arial"/>
          <w:sz w:val="20"/>
          <w:szCs w:val="20"/>
        </w:rPr>
        <w:t xml:space="preserve"> </w:t>
      </w:r>
      <w:r w:rsidR="009224A7" w:rsidRPr="00341304">
        <w:rPr>
          <w:rFonts w:ascii="Arial" w:hAnsi="Arial" w:cs="Arial"/>
          <w:sz w:val="20"/>
          <w:szCs w:val="20"/>
        </w:rPr>
        <w:t>lower in 2015 compared to both 2013 and 1992.</w:t>
      </w:r>
    </w:p>
    <w:p w14:paraId="4CC83507" w14:textId="77777777" w:rsidR="009837A9" w:rsidRDefault="009837A9" w:rsidP="00D824D6">
      <w:pPr>
        <w:spacing w:before="120" w:line="276" w:lineRule="auto"/>
        <w:rPr>
          <w:rFonts w:ascii="Arial" w:hAnsi="Arial" w:cs="Arial"/>
          <w:sz w:val="20"/>
          <w:szCs w:val="20"/>
        </w:rPr>
      </w:pPr>
    </w:p>
    <w:p w14:paraId="37A73E9C" w14:textId="77777777" w:rsidR="009837A9" w:rsidRDefault="009837A9" w:rsidP="00D824D6">
      <w:pPr>
        <w:spacing w:before="120" w:line="276" w:lineRule="auto"/>
        <w:rPr>
          <w:rFonts w:ascii="Arial" w:hAnsi="Arial" w:cs="Arial"/>
          <w:sz w:val="20"/>
          <w:szCs w:val="20"/>
        </w:rPr>
      </w:pPr>
    </w:p>
    <w:p w14:paraId="47C90CAF" w14:textId="77777777" w:rsidR="009837A9" w:rsidRDefault="009837A9" w:rsidP="009837A9">
      <w:pPr>
        <w:spacing w:before="120" w:line="276" w:lineRule="auto"/>
        <w:rPr>
          <w:rFonts w:ascii="Arial" w:hAnsi="Arial" w:cs="Arial"/>
          <w:sz w:val="20"/>
          <w:szCs w:val="20"/>
        </w:rPr>
      </w:pPr>
    </w:p>
    <w:p w14:paraId="06F85E42" w14:textId="77777777" w:rsidR="009837A9" w:rsidRDefault="009837A9" w:rsidP="009837A9">
      <w:pPr>
        <w:spacing w:before="120" w:line="276" w:lineRule="auto"/>
        <w:rPr>
          <w:rFonts w:ascii="Arial" w:hAnsi="Arial" w:cs="Arial"/>
          <w:sz w:val="20"/>
          <w:szCs w:val="20"/>
        </w:rPr>
      </w:pPr>
    </w:p>
    <w:p w14:paraId="0144C4CD" w14:textId="77777777" w:rsidR="009837A9" w:rsidRDefault="009837A9" w:rsidP="009837A9">
      <w:pPr>
        <w:spacing w:before="120" w:line="276" w:lineRule="auto"/>
        <w:rPr>
          <w:rFonts w:ascii="Arial" w:hAnsi="Arial" w:cs="Arial"/>
          <w:sz w:val="20"/>
          <w:szCs w:val="20"/>
        </w:rPr>
      </w:pPr>
    </w:p>
    <w:p w14:paraId="463E9023" w14:textId="77777777" w:rsidR="009837A9" w:rsidRDefault="009837A9" w:rsidP="009837A9">
      <w:pPr>
        <w:spacing w:before="120" w:line="276" w:lineRule="auto"/>
        <w:rPr>
          <w:rFonts w:ascii="Arial" w:hAnsi="Arial" w:cs="Arial"/>
          <w:sz w:val="20"/>
          <w:szCs w:val="20"/>
        </w:rPr>
      </w:pPr>
    </w:p>
    <w:p w14:paraId="692C7A3C" w14:textId="77777777" w:rsidR="009837A9" w:rsidRDefault="009837A9" w:rsidP="009837A9">
      <w:pPr>
        <w:spacing w:before="120" w:line="276" w:lineRule="auto"/>
        <w:rPr>
          <w:rFonts w:ascii="Arial" w:hAnsi="Arial" w:cs="Arial"/>
          <w:sz w:val="20"/>
          <w:szCs w:val="20"/>
        </w:rPr>
      </w:pPr>
    </w:p>
    <w:p w14:paraId="6A5A4E33" w14:textId="77777777" w:rsidR="009837A9" w:rsidRDefault="009837A9" w:rsidP="009837A9">
      <w:pPr>
        <w:spacing w:before="120" w:line="276" w:lineRule="auto"/>
        <w:rPr>
          <w:rFonts w:ascii="Arial" w:hAnsi="Arial" w:cs="Arial"/>
          <w:sz w:val="20"/>
          <w:szCs w:val="20"/>
        </w:rPr>
      </w:pPr>
    </w:p>
    <w:p w14:paraId="2619C42F" w14:textId="2576E4C7" w:rsidR="009837A9" w:rsidRPr="00341304" w:rsidRDefault="009837A9" w:rsidP="00A14F1B">
      <w:pPr>
        <w:spacing w:before="120" w:line="276" w:lineRule="auto"/>
        <w:jc w:val="center"/>
        <w:rPr>
          <w:rFonts w:ascii="Arial" w:hAnsi="Arial" w:cs="Arial"/>
          <w:sz w:val="20"/>
          <w:szCs w:val="20"/>
        </w:rPr>
      </w:pPr>
      <w:r w:rsidRPr="00341304">
        <w:rPr>
          <w:rFonts w:ascii="Arial" w:hAnsi="Arial" w:cs="Arial"/>
          <w:sz w:val="20"/>
          <w:szCs w:val="20"/>
        </w:rPr>
        <w:t>Trend in twelfth-grade reading percentile scores</w:t>
      </w:r>
    </w:p>
    <w:p w14:paraId="3687EAA5" w14:textId="7CA53736" w:rsidR="00B06605" w:rsidRPr="00341304" w:rsidRDefault="009837A9" w:rsidP="00A14F1B">
      <w:pPr>
        <w:spacing w:before="120" w:line="276" w:lineRule="auto"/>
        <w:jc w:val="center"/>
        <w:rPr>
          <w:rFonts w:ascii="Arial" w:hAnsi="Arial" w:cs="Arial"/>
          <w:sz w:val="20"/>
          <w:szCs w:val="20"/>
        </w:rPr>
      </w:pPr>
      <w:r>
        <w:rPr>
          <w:rFonts w:ascii="Arial" w:hAnsi="Arial" w:cs="Arial"/>
          <w:noProof/>
          <w:sz w:val="20"/>
          <w:szCs w:val="20"/>
        </w:rPr>
        <w:drawing>
          <wp:inline distT="0" distB="0" distL="0" distR="0" wp14:anchorId="6943FC90" wp14:editId="11E3F624">
            <wp:extent cx="4419600" cy="4471980"/>
            <wp:effectExtent l="0" t="0" r="0" b="5080"/>
            <wp:docPr id="6" name="Picture 6" descr="Thirty seven percent of twelfth-grade students scored at or above Proficient in reading in 2015, which was not significantly different from 2013, but was lower than in 1992. Six percent of students in 2015 scored at the Advanced level, an increase compared to 2013 and 1992.&#10;There were no changes in the White-Black and White-Hispanic score gaps from 2013 to 2015.&#10;" title="Line chart showing Trend in twelfth-grade reading percentile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73-024_12th_MathReading_infographic_V3-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8713" cy="4481201"/>
                    </a:xfrm>
                    <a:prstGeom prst="rect">
                      <a:avLst/>
                    </a:prstGeom>
                  </pic:spPr>
                </pic:pic>
              </a:graphicData>
            </a:graphic>
          </wp:inline>
        </w:drawing>
      </w:r>
    </w:p>
    <w:p w14:paraId="1ECADC40" w14:textId="571D5CAB" w:rsidR="0075291B" w:rsidRPr="00341304" w:rsidRDefault="0075291B" w:rsidP="00D824D6">
      <w:pPr>
        <w:spacing w:before="120" w:line="276" w:lineRule="auto"/>
        <w:rPr>
          <w:rFonts w:ascii="Arial" w:hAnsi="Arial" w:cs="Arial"/>
          <w:sz w:val="20"/>
          <w:szCs w:val="20"/>
        </w:rPr>
      </w:pPr>
    </w:p>
    <w:p w14:paraId="17024BBD" w14:textId="143C02B6" w:rsidR="009224A7" w:rsidRPr="00341304" w:rsidRDefault="009224A7" w:rsidP="00D824D6">
      <w:pPr>
        <w:spacing w:before="120" w:line="276" w:lineRule="auto"/>
        <w:rPr>
          <w:rFonts w:ascii="Arial" w:hAnsi="Arial" w:cs="Arial"/>
          <w:sz w:val="20"/>
          <w:szCs w:val="20"/>
        </w:rPr>
      </w:pPr>
      <w:r w:rsidRPr="00341304">
        <w:rPr>
          <w:rFonts w:ascii="Arial" w:hAnsi="Arial" w:cs="Arial"/>
          <w:sz w:val="20"/>
          <w:szCs w:val="20"/>
        </w:rPr>
        <w:t xml:space="preserve">Thirty seven percent of twelfth-grade students scored at or above </w:t>
      </w:r>
      <w:r w:rsidRPr="00341304">
        <w:rPr>
          <w:rFonts w:ascii="Arial" w:hAnsi="Arial" w:cs="Arial"/>
          <w:i/>
          <w:sz w:val="20"/>
          <w:szCs w:val="20"/>
        </w:rPr>
        <w:t>Proficient</w:t>
      </w:r>
      <w:r w:rsidRPr="00341304">
        <w:rPr>
          <w:rFonts w:ascii="Arial" w:hAnsi="Arial" w:cs="Arial"/>
          <w:sz w:val="20"/>
          <w:szCs w:val="20"/>
        </w:rPr>
        <w:t xml:space="preserve"> in </w:t>
      </w:r>
      <w:r w:rsidR="0075291B" w:rsidRPr="00341304">
        <w:rPr>
          <w:rFonts w:ascii="Arial" w:hAnsi="Arial" w:cs="Arial"/>
          <w:sz w:val="20"/>
          <w:szCs w:val="20"/>
        </w:rPr>
        <w:t>r</w:t>
      </w:r>
      <w:r w:rsidRPr="00341304">
        <w:rPr>
          <w:rFonts w:ascii="Arial" w:hAnsi="Arial" w:cs="Arial"/>
          <w:sz w:val="20"/>
          <w:szCs w:val="20"/>
        </w:rPr>
        <w:t xml:space="preserve">eading in 2015, which was not significantly different from 2013, but was lower than in 1992. Six percent of students in 2015 scored at the </w:t>
      </w:r>
      <w:r w:rsidRPr="00341304">
        <w:rPr>
          <w:rFonts w:ascii="Arial" w:hAnsi="Arial" w:cs="Arial"/>
          <w:i/>
          <w:sz w:val="20"/>
          <w:szCs w:val="20"/>
        </w:rPr>
        <w:t xml:space="preserve">Advanced </w:t>
      </w:r>
      <w:r w:rsidRPr="00341304">
        <w:rPr>
          <w:rFonts w:ascii="Arial" w:hAnsi="Arial" w:cs="Arial"/>
          <w:sz w:val="20"/>
          <w:szCs w:val="20"/>
        </w:rPr>
        <w:t>level, an increase compared to 2013 and 1992.</w:t>
      </w:r>
    </w:p>
    <w:p w14:paraId="47343F72" w14:textId="26C15EDA" w:rsidR="00B06605" w:rsidRPr="00341304" w:rsidRDefault="009224A7" w:rsidP="00C840EB">
      <w:pPr>
        <w:spacing w:before="120" w:line="276" w:lineRule="auto"/>
        <w:rPr>
          <w:rFonts w:ascii="Arial" w:hAnsi="Arial" w:cs="Arial"/>
          <w:sz w:val="20"/>
          <w:szCs w:val="20"/>
        </w:rPr>
      </w:pPr>
      <w:r w:rsidRPr="00341304">
        <w:rPr>
          <w:rFonts w:ascii="Arial" w:hAnsi="Arial" w:cs="Arial"/>
          <w:sz w:val="20"/>
          <w:szCs w:val="20"/>
        </w:rPr>
        <w:t xml:space="preserve">There were no changes in </w:t>
      </w:r>
      <w:r w:rsidR="00A17E35" w:rsidRPr="00341304">
        <w:rPr>
          <w:rFonts w:ascii="Arial" w:hAnsi="Arial" w:cs="Arial"/>
          <w:sz w:val="20"/>
          <w:szCs w:val="20"/>
        </w:rPr>
        <w:t xml:space="preserve">the White-Black and White-Hispanic </w:t>
      </w:r>
      <w:r w:rsidRPr="00341304">
        <w:rPr>
          <w:rFonts w:ascii="Arial" w:hAnsi="Arial" w:cs="Arial"/>
          <w:sz w:val="20"/>
          <w:szCs w:val="20"/>
        </w:rPr>
        <w:t>score gaps from 2013 to 2015.</w:t>
      </w:r>
    </w:p>
    <w:p w14:paraId="3A72E0B7" w14:textId="77777777" w:rsidR="00CE3CF1" w:rsidRPr="00341304" w:rsidRDefault="00CE3CF1" w:rsidP="00D824D6">
      <w:pPr>
        <w:spacing w:after="0" w:line="276" w:lineRule="auto"/>
        <w:ind w:right="-20"/>
        <w:rPr>
          <w:rFonts w:ascii="Arial" w:hAnsi="Arial" w:cs="Arial"/>
          <w:sz w:val="20"/>
          <w:szCs w:val="20"/>
        </w:rPr>
      </w:pPr>
    </w:p>
    <w:p w14:paraId="6423A053" w14:textId="410D914A" w:rsidR="00CE3CF1" w:rsidRPr="00341304" w:rsidRDefault="00CE3CF1" w:rsidP="00D824D6">
      <w:pPr>
        <w:spacing w:line="276" w:lineRule="auto"/>
        <w:rPr>
          <w:rFonts w:ascii="Arial" w:hAnsi="Arial" w:cs="Arial"/>
          <w:sz w:val="20"/>
          <w:szCs w:val="20"/>
        </w:rPr>
      </w:pPr>
      <w:r w:rsidRPr="00341304">
        <w:rPr>
          <w:rFonts w:ascii="Arial" w:hAnsi="Arial" w:cs="Arial"/>
          <w:sz w:val="20"/>
          <w:szCs w:val="20"/>
        </w:rPr>
        <w:t xml:space="preserve">Visit </w:t>
      </w:r>
      <w:hyperlink r:id="rId10" w:history="1">
        <w:r w:rsidR="00833C74" w:rsidRPr="00833C74">
          <w:rPr>
            <w:rStyle w:val="Hyperlink"/>
            <w:rFonts w:ascii="Arial" w:hAnsi="Arial" w:cs="Arial"/>
            <w:sz w:val="20"/>
            <w:szCs w:val="20"/>
          </w:rPr>
          <w:t>http://www.nationsreportcard.gov/reading_math_g12_2015/</w:t>
        </w:r>
      </w:hyperlink>
      <w:r w:rsidR="00833C74" w:rsidRPr="00833C74">
        <w:rPr>
          <w:rFonts w:ascii="Arial" w:hAnsi="Arial" w:cs="Arial"/>
          <w:sz w:val="20"/>
          <w:szCs w:val="20"/>
        </w:rPr>
        <w:t xml:space="preserve"> </w:t>
      </w:r>
      <w:r w:rsidRPr="00341304">
        <w:rPr>
          <w:rFonts w:ascii="Arial" w:hAnsi="Arial" w:cs="Arial"/>
          <w:sz w:val="20"/>
          <w:szCs w:val="20"/>
        </w:rPr>
        <w:t>to view the report.</w:t>
      </w:r>
    </w:p>
    <w:p w14:paraId="45CA73CF" w14:textId="77777777" w:rsidR="00CE3CF1" w:rsidRPr="00341304" w:rsidRDefault="00CE3CF1" w:rsidP="00D824D6">
      <w:pPr>
        <w:spacing w:line="276" w:lineRule="auto"/>
        <w:jc w:val="center"/>
        <w:rPr>
          <w:rFonts w:ascii="Arial" w:hAnsi="Arial" w:cs="Arial"/>
          <w:sz w:val="20"/>
          <w:szCs w:val="20"/>
        </w:rPr>
      </w:pPr>
      <w:r w:rsidRPr="00341304">
        <w:rPr>
          <w:rFonts w:ascii="Arial" w:hAnsi="Arial" w:cs="Arial"/>
          <w:sz w:val="20"/>
          <w:szCs w:val="20"/>
        </w:rPr>
        <w:t>###</w:t>
      </w:r>
    </w:p>
    <w:p w14:paraId="02C99602" w14:textId="3318E7B5" w:rsidR="00CE3CF1" w:rsidRPr="00341304" w:rsidRDefault="00CE3CF1" w:rsidP="00D824D6">
      <w:pPr>
        <w:spacing w:line="276" w:lineRule="auto"/>
        <w:rPr>
          <w:rFonts w:ascii="Arial" w:hAnsi="Arial" w:cs="Arial"/>
          <w:i/>
          <w:sz w:val="20"/>
          <w:szCs w:val="20"/>
        </w:rPr>
      </w:pPr>
      <w:r w:rsidRPr="00341304">
        <w:rPr>
          <w:rFonts w:ascii="Arial" w:hAnsi="Arial" w:cs="Arial"/>
          <w:i/>
          <w:sz w:val="20"/>
          <w:szCs w:val="20"/>
        </w:rPr>
        <w:t>The National Assessment of Educational Progress (NAEP) is a congressionally authorized project sponsored by the U.S. Department of Education. The National Center for Education Statistics</w:t>
      </w:r>
      <w:r w:rsidR="0075291B" w:rsidRPr="00341304">
        <w:rPr>
          <w:rFonts w:ascii="Arial" w:hAnsi="Arial" w:cs="Arial"/>
          <w:i/>
          <w:sz w:val="20"/>
          <w:szCs w:val="20"/>
        </w:rPr>
        <w:t xml:space="preserve"> (NCES)</w:t>
      </w:r>
      <w:r w:rsidRPr="00341304">
        <w:rPr>
          <w:rFonts w:ascii="Arial" w:hAnsi="Arial" w:cs="Arial"/>
          <w:i/>
          <w:sz w:val="20"/>
          <w:szCs w:val="20"/>
        </w:rPr>
        <w:t xml:space="preserve">, </w:t>
      </w:r>
      <w:r w:rsidRPr="00341304">
        <w:rPr>
          <w:rFonts w:ascii="Arial" w:hAnsi="Arial" w:cs="Arial"/>
          <w:i/>
          <w:sz w:val="20"/>
          <w:szCs w:val="20"/>
        </w:rPr>
        <w:lastRenderedPageBreak/>
        <w:t>within the Institute of Education Sciences, administers NAEP. The Commissioner of the National Center for Education Statistics is responsible by law for carrying out the NAEP project.</w:t>
      </w:r>
    </w:p>
    <w:p w14:paraId="0A8C7AFC" w14:textId="77777777" w:rsidR="00CE3CF1" w:rsidRPr="00341304" w:rsidRDefault="00CE3CF1" w:rsidP="00D824D6">
      <w:pPr>
        <w:spacing w:line="276" w:lineRule="auto"/>
        <w:rPr>
          <w:rFonts w:ascii="Arial" w:hAnsi="Arial" w:cs="Arial"/>
          <w:i/>
          <w:sz w:val="20"/>
          <w:szCs w:val="20"/>
        </w:rPr>
      </w:pPr>
      <w:r w:rsidRPr="00341304">
        <w:rPr>
          <w:rFonts w:ascii="Arial" w:hAnsi="Arial" w:cs="Arial"/>
          <w:i/>
          <w:sz w:val="20"/>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 </w:t>
      </w:r>
    </w:p>
    <w:p w14:paraId="4A56C820" w14:textId="77777777" w:rsidR="00691BCE" w:rsidRDefault="00CE3CF1">
      <w:r w:rsidRPr="00341304">
        <w:rPr>
          <w:rFonts w:ascii="Arial" w:hAnsi="Arial" w:cs="Arial"/>
          <w:bCs/>
          <w:i/>
          <w:iCs/>
          <w:sz w:val="20"/>
          <w:szCs w:val="20"/>
        </w:rPr>
        <w:t>The National Assessment Governing Board</w:t>
      </w:r>
      <w:r w:rsidRPr="00341304">
        <w:rPr>
          <w:rFonts w:ascii="Arial" w:hAnsi="Arial" w:cs="Arial"/>
          <w:i/>
          <w:iCs/>
          <w:sz w:val="20"/>
          <w:szCs w:val="20"/>
        </w:rPr>
        <w:t xml:space="preserve"> is an independent, bipartisan board whose members include governors, state legislators, local and state school officials, educators, business representatives and members of the general public. Congress created the 26-member Governing Board in 1988 to set policy for NAEP.</w:t>
      </w:r>
    </w:p>
    <w:sectPr w:rsidR="0069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DDD"/>
    <w:multiLevelType w:val="hybridMultilevel"/>
    <w:tmpl w:val="AEC2E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892142"/>
    <w:multiLevelType w:val="hybridMultilevel"/>
    <w:tmpl w:val="17FE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E2377"/>
    <w:multiLevelType w:val="hybridMultilevel"/>
    <w:tmpl w:val="82E2B1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1"/>
    <w:rsid w:val="00004A05"/>
    <w:rsid w:val="00020892"/>
    <w:rsid w:val="00033897"/>
    <w:rsid w:val="00075F9E"/>
    <w:rsid w:val="000A0ABB"/>
    <w:rsid w:val="000A1542"/>
    <w:rsid w:val="000E0687"/>
    <w:rsid w:val="00104D43"/>
    <w:rsid w:val="00144DE3"/>
    <w:rsid w:val="001A393F"/>
    <w:rsid w:val="001B0782"/>
    <w:rsid w:val="001E5443"/>
    <w:rsid w:val="00237A77"/>
    <w:rsid w:val="00274861"/>
    <w:rsid w:val="00281A81"/>
    <w:rsid w:val="002A4D5C"/>
    <w:rsid w:val="002B2ACC"/>
    <w:rsid w:val="003075E3"/>
    <w:rsid w:val="00334741"/>
    <w:rsid w:val="00341304"/>
    <w:rsid w:val="00461D76"/>
    <w:rsid w:val="005004BB"/>
    <w:rsid w:val="00567944"/>
    <w:rsid w:val="005806E1"/>
    <w:rsid w:val="005948FB"/>
    <w:rsid w:val="00657D2E"/>
    <w:rsid w:val="0066349F"/>
    <w:rsid w:val="0069530C"/>
    <w:rsid w:val="006A5FBF"/>
    <w:rsid w:val="00700E5F"/>
    <w:rsid w:val="00745593"/>
    <w:rsid w:val="0075291B"/>
    <w:rsid w:val="00772812"/>
    <w:rsid w:val="00796D6A"/>
    <w:rsid w:val="007D0576"/>
    <w:rsid w:val="007D7929"/>
    <w:rsid w:val="007F3B99"/>
    <w:rsid w:val="00833C74"/>
    <w:rsid w:val="00845011"/>
    <w:rsid w:val="0087554C"/>
    <w:rsid w:val="0089393D"/>
    <w:rsid w:val="008D070B"/>
    <w:rsid w:val="00901B84"/>
    <w:rsid w:val="009224A7"/>
    <w:rsid w:val="009812B5"/>
    <w:rsid w:val="009837A9"/>
    <w:rsid w:val="009E257E"/>
    <w:rsid w:val="009F152D"/>
    <w:rsid w:val="00A14F1B"/>
    <w:rsid w:val="00A17494"/>
    <w:rsid w:val="00A17E35"/>
    <w:rsid w:val="00A24D37"/>
    <w:rsid w:val="00A4076B"/>
    <w:rsid w:val="00A80A3F"/>
    <w:rsid w:val="00A9181F"/>
    <w:rsid w:val="00AB575D"/>
    <w:rsid w:val="00AE358C"/>
    <w:rsid w:val="00AF08B6"/>
    <w:rsid w:val="00B06605"/>
    <w:rsid w:val="00B1688F"/>
    <w:rsid w:val="00B2037A"/>
    <w:rsid w:val="00B4377C"/>
    <w:rsid w:val="00B92075"/>
    <w:rsid w:val="00BB4B1D"/>
    <w:rsid w:val="00BD1F22"/>
    <w:rsid w:val="00C70B1B"/>
    <w:rsid w:val="00C840EB"/>
    <w:rsid w:val="00C9249D"/>
    <w:rsid w:val="00CE3CF1"/>
    <w:rsid w:val="00D24FE8"/>
    <w:rsid w:val="00D703A9"/>
    <w:rsid w:val="00D76869"/>
    <w:rsid w:val="00D76EAD"/>
    <w:rsid w:val="00D824D6"/>
    <w:rsid w:val="00DA0B80"/>
    <w:rsid w:val="00DF1F57"/>
    <w:rsid w:val="00E2151C"/>
    <w:rsid w:val="00E401D2"/>
    <w:rsid w:val="00E54B69"/>
    <w:rsid w:val="00E60F32"/>
    <w:rsid w:val="00E731CF"/>
    <w:rsid w:val="00EC6187"/>
    <w:rsid w:val="00ED2ED4"/>
    <w:rsid w:val="00ED63D0"/>
    <w:rsid w:val="00EE4152"/>
    <w:rsid w:val="00F156A4"/>
    <w:rsid w:val="00F24B85"/>
    <w:rsid w:val="00F735C1"/>
    <w:rsid w:val="00F8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B317"/>
  <w15:docId w15:val="{6D3445F4-6986-4A12-95FA-6843F0AB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F1"/>
    <w:rPr>
      <w:color w:val="0000FF"/>
      <w:u w:val="single"/>
    </w:rPr>
  </w:style>
  <w:style w:type="paragraph" w:styleId="NormalWeb">
    <w:name w:val="Normal (Web)"/>
    <w:basedOn w:val="Normal"/>
    <w:uiPriority w:val="99"/>
    <w:unhideWhenUsed/>
    <w:rsid w:val="00CE3CF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E3CF1"/>
    <w:pPr>
      <w:spacing w:line="240" w:lineRule="auto"/>
    </w:pPr>
    <w:rPr>
      <w:sz w:val="20"/>
      <w:szCs w:val="20"/>
    </w:rPr>
  </w:style>
  <w:style w:type="character" w:customStyle="1" w:styleId="CommentTextChar">
    <w:name w:val="Comment Text Char"/>
    <w:basedOn w:val="DefaultParagraphFont"/>
    <w:link w:val="CommentText"/>
    <w:uiPriority w:val="99"/>
    <w:semiHidden/>
    <w:rsid w:val="00CE3CF1"/>
    <w:rPr>
      <w:sz w:val="20"/>
      <w:szCs w:val="20"/>
    </w:rPr>
  </w:style>
  <w:style w:type="paragraph" w:styleId="ListParagraph">
    <w:name w:val="List Paragraph"/>
    <w:basedOn w:val="Normal"/>
    <w:uiPriority w:val="34"/>
    <w:qFormat/>
    <w:rsid w:val="00CE3CF1"/>
    <w:pPr>
      <w:spacing w:after="0" w:line="240" w:lineRule="auto"/>
      <w:ind w:left="720"/>
      <w:contextualSpacing/>
    </w:pPr>
    <w:rPr>
      <w:rFonts w:eastAsiaTheme="minorEastAsia"/>
      <w:noProof/>
      <w:sz w:val="24"/>
      <w:szCs w:val="24"/>
      <w:lang w:val="en-GB"/>
    </w:rPr>
  </w:style>
  <w:style w:type="character" w:styleId="CommentReference">
    <w:name w:val="annotation reference"/>
    <w:basedOn w:val="DefaultParagraphFont"/>
    <w:uiPriority w:val="99"/>
    <w:semiHidden/>
    <w:unhideWhenUsed/>
    <w:rsid w:val="00CE3CF1"/>
    <w:rPr>
      <w:sz w:val="16"/>
      <w:szCs w:val="16"/>
    </w:rPr>
  </w:style>
  <w:style w:type="character" w:customStyle="1" w:styleId="apple-converted-space">
    <w:name w:val="apple-converted-space"/>
    <w:basedOn w:val="DefaultParagraphFont"/>
    <w:rsid w:val="00CE3CF1"/>
  </w:style>
  <w:style w:type="paragraph" w:styleId="BalloonText">
    <w:name w:val="Balloon Text"/>
    <w:basedOn w:val="Normal"/>
    <w:link w:val="BalloonTextChar"/>
    <w:uiPriority w:val="99"/>
    <w:semiHidden/>
    <w:unhideWhenUsed/>
    <w:rsid w:val="00CE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4D43"/>
    <w:rPr>
      <w:b/>
      <w:bCs/>
    </w:rPr>
  </w:style>
  <w:style w:type="character" w:customStyle="1" w:styleId="CommentSubjectChar">
    <w:name w:val="Comment Subject Char"/>
    <w:basedOn w:val="CommentTextChar"/>
    <w:link w:val="CommentSubject"/>
    <w:uiPriority w:val="99"/>
    <w:semiHidden/>
    <w:rsid w:val="00104D43"/>
    <w:rPr>
      <w:b/>
      <w:bCs/>
      <w:sz w:val="20"/>
      <w:szCs w:val="20"/>
    </w:rPr>
  </w:style>
  <w:style w:type="paragraph" w:styleId="Revision">
    <w:name w:val="Revision"/>
    <w:hidden/>
    <w:uiPriority w:val="99"/>
    <w:semiHidden/>
    <w:rsid w:val="00341304"/>
    <w:pPr>
      <w:spacing w:after="0" w:line="240" w:lineRule="auto"/>
    </w:pPr>
  </w:style>
  <w:style w:type="paragraph" w:styleId="Title">
    <w:name w:val="Title"/>
    <w:basedOn w:val="Normal"/>
    <w:next w:val="Normal"/>
    <w:link w:val="TitleChar"/>
    <w:uiPriority w:val="10"/>
    <w:qFormat/>
    <w:rsid w:val="00A91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8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572">
      <w:bodyDiv w:val="1"/>
      <w:marLeft w:val="0"/>
      <w:marRight w:val="0"/>
      <w:marTop w:val="0"/>
      <w:marBottom w:val="0"/>
      <w:divBdr>
        <w:top w:val="none" w:sz="0" w:space="0" w:color="auto"/>
        <w:left w:val="none" w:sz="0" w:space="0" w:color="auto"/>
        <w:bottom w:val="none" w:sz="0" w:space="0" w:color="auto"/>
        <w:right w:val="none" w:sz="0" w:space="0" w:color="auto"/>
      </w:divBdr>
    </w:div>
    <w:div w:id="235088592">
      <w:bodyDiv w:val="1"/>
      <w:marLeft w:val="0"/>
      <w:marRight w:val="0"/>
      <w:marTop w:val="0"/>
      <w:marBottom w:val="0"/>
      <w:divBdr>
        <w:top w:val="none" w:sz="0" w:space="0" w:color="auto"/>
        <w:left w:val="none" w:sz="0" w:space="0" w:color="auto"/>
        <w:bottom w:val="none" w:sz="0" w:space="0" w:color="auto"/>
        <w:right w:val="none" w:sz="0" w:space="0" w:color="auto"/>
      </w:divBdr>
    </w:div>
    <w:div w:id="12051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dhoff@hagershar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McGrath@ed.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sreportcard.gov/reading_math_g12_2015/"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44FC-6294-42E0-98DD-CF4EE394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Nation’s Report Card Shows Mixed Results for Grade 12</dc:title>
  <dc:creator>Ashley Parker</dc:creator>
  <cp:lastModifiedBy>Hollis, Taryn</cp:lastModifiedBy>
  <cp:revision>4</cp:revision>
  <cp:lastPrinted>2016-03-25T16:06:00Z</cp:lastPrinted>
  <dcterms:created xsi:type="dcterms:W3CDTF">2021-09-28T14:42:00Z</dcterms:created>
  <dcterms:modified xsi:type="dcterms:W3CDTF">2021-12-06T20:06:00Z</dcterms:modified>
</cp:coreProperties>
</file>