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A9E67" w14:textId="25E544BE" w:rsidR="001B1360" w:rsidRPr="0011005F" w:rsidRDefault="001B1360" w:rsidP="70C2D868">
      <w:pPr>
        <w:rPr>
          <w:rFonts w:asciiTheme="majorHAnsi" w:hAnsiTheme="majorHAnsi" w:cstheme="majorBidi"/>
          <w:b/>
          <w:bCs/>
          <w:sz w:val="44"/>
          <w:szCs w:val="44"/>
        </w:rPr>
      </w:pPr>
      <w:r w:rsidRPr="70C2D868">
        <w:rPr>
          <w:rFonts w:asciiTheme="majorHAnsi" w:hAnsiTheme="majorHAnsi" w:cstheme="majorBidi"/>
          <w:b/>
          <w:bCs/>
          <w:sz w:val="44"/>
          <w:szCs w:val="44"/>
        </w:rPr>
        <w:t xml:space="preserve">Summary of the </w:t>
      </w:r>
      <w:r w:rsidR="0021531E" w:rsidRPr="70C2D868">
        <w:rPr>
          <w:rFonts w:asciiTheme="majorHAnsi" w:hAnsiTheme="majorHAnsi" w:cstheme="majorBidi"/>
          <w:b/>
          <w:bCs/>
          <w:sz w:val="44"/>
          <w:szCs w:val="44"/>
        </w:rPr>
        <w:t xml:space="preserve">2019 NAEP </w:t>
      </w:r>
      <w:r w:rsidR="00505430" w:rsidRPr="70C2D868">
        <w:rPr>
          <w:rFonts w:asciiTheme="majorHAnsi" w:hAnsiTheme="majorHAnsi" w:cstheme="majorBidi"/>
          <w:b/>
          <w:bCs/>
          <w:sz w:val="44"/>
          <w:szCs w:val="44"/>
        </w:rPr>
        <w:t>S</w:t>
      </w:r>
      <w:r w:rsidR="0021531E" w:rsidRPr="70C2D868">
        <w:rPr>
          <w:rFonts w:asciiTheme="majorHAnsi" w:hAnsiTheme="majorHAnsi" w:cstheme="majorBidi"/>
          <w:b/>
          <w:bCs/>
          <w:sz w:val="44"/>
          <w:szCs w:val="44"/>
        </w:rPr>
        <w:t xml:space="preserve">cience </w:t>
      </w:r>
      <w:r w:rsidR="00505430" w:rsidRPr="70C2D868">
        <w:rPr>
          <w:rFonts w:asciiTheme="majorHAnsi" w:hAnsiTheme="majorHAnsi" w:cstheme="majorBidi"/>
          <w:b/>
          <w:bCs/>
          <w:sz w:val="44"/>
          <w:szCs w:val="44"/>
        </w:rPr>
        <w:t>S</w:t>
      </w:r>
      <w:r w:rsidR="0021531E" w:rsidRPr="70C2D868">
        <w:rPr>
          <w:rFonts w:asciiTheme="majorHAnsi" w:hAnsiTheme="majorHAnsi" w:cstheme="majorBidi"/>
          <w:b/>
          <w:bCs/>
          <w:sz w:val="44"/>
          <w:szCs w:val="44"/>
        </w:rPr>
        <w:t xml:space="preserve">cenario-based </w:t>
      </w:r>
      <w:r w:rsidR="00505430" w:rsidRPr="70C2D868">
        <w:rPr>
          <w:rFonts w:asciiTheme="majorHAnsi" w:hAnsiTheme="majorHAnsi" w:cstheme="majorBidi"/>
          <w:b/>
          <w:bCs/>
          <w:sz w:val="44"/>
          <w:szCs w:val="44"/>
        </w:rPr>
        <w:t>T</w:t>
      </w:r>
      <w:r w:rsidR="0021531E" w:rsidRPr="70C2D868">
        <w:rPr>
          <w:rFonts w:asciiTheme="majorHAnsi" w:hAnsiTheme="majorHAnsi" w:cstheme="majorBidi"/>
          <w:b/>
          <w:bCs/>
          <w:sz w:val="44"/>
          <w:szCs w:val="44"/>
        </w:rPr>
        <w:t xml:space="preserve">ask </w:t>
      </w:r>
      <w:r w:rsidR="00D828D7" w:rsidRPr="70C2D868">
        <w:rPr>
          <w:rFonts w:asciiTheme="majorHAnsi" w:hAnsiTheme="majorHAnsi" w:cstheme="majorBidi"/>
          <w:b/>
          <w:bCs/>
          <w:sz w:val="44"/>
          <w:szCs w:val="44"/>
        </w:rPr>
        <w:t>I</w:t>
      </w:r>
      <w:r w:rsidR="0021531E" w:rsidRPr="70C2D868">
        <w:rPr>
          <w:rFonts w:asciiTheme="majorHAnsi" w:hAnsiTheme="majorHAnsi" w:cstheme="majorBidi"/>
          <w:b/>
          <w:bCs/>
          <w:sz w:val="44"/>
          <w:szCs w:val="44"/>
        </w:rPr>
        <w:t xml:space="preserve">ntegration </w:t>
      </w:r>
      <w:r w:rsidR="00505430" w:rsidRPr="70C2D868">
        <w:rPr>
          <w:rFonts w:asciiTheme="majorHAnsi" w:hAnsiTheme="majorHAnsi" w:cstheme="majorBidi"/>
          <w:b/>
          <w:bCs/>
          <w:sz w:val="44"/>
          <w:szCs w:val="44"/>
        </w:rPr>
        <w:t>E</w:t>
      </w:r>
      <w:r w:rsidR="0021531E" w:rsidRPr="70C2D868">
        <w:rPr>
          <w:rFonts w:asciiTheme="majorHAnsi" w:hAnsiTheme="majorHAnsi" w:cstheme="majorBidi"/>
          <w:b/>
          <w:bCs/>
          <w:sz w:val="44"/>
          <w:szCs w:val="44"/>
        </w:rPr>
        <w:t>valuation</w:t>
      </w:r>
    </w:p>
    <w:p w14:paraId="2ECB781A" w14:textId="2E8ABEB4" w:rsidR="00057733" w:rsidRPr="00D07016" w:rsidRDefault="00682870" w:rsidP="65E079A1">
      <w:pPr>
        <w:rPr>
          <w:sz w:val="22"/>
          <w:szCs w:val="22"/>
        </w:rPr>
      </w:pPr>
      <w:r w:rsidRPr="65E079A1">
        <w:rPr>
          <w:sz w:val="22"/>
          <w:szCs w:val="22"/>
        </w:rPr>
        <w:t xml:space="preserve">For NAEP Science, </w:t>
      </w:r>
      <w:r w:rsidR="00057733" w:rsidRPr="65E079A1">
        <w:rPr>
          <w:sz w:val="22"/>
          <w:szCs w:val="22"/>
        </w:rPr>
        <w:t xml:space="preserve">scenario-based task (SBT) blocks </w:t>
      </w:r>
      <w:r w:rsidRPr="65E079A1">
        <w:rPr>
          <w:sz w:val="22"/>
          <w:szCs w:val="22"/>
        </w:rPr>
        <w:t xml:space="preserve">were </w:t>
      </w:r>
      <w:r w:rsidR="00505430" w:rsidRPr="65E079A1">
        <w:rPr>
          <w:sz w:val="22"/>
          <w:szCs w:val="22"/>
        </w:rPr>
        <w:t>administer</w:t>
      </w:r>
      <w:r w:rsidRPr="65E079A1">
        <w:rPr>
          <w:sz w:val="22"/>
          <w:szCs w:val="22"/>
        </w:rPr>
        <w:t xml:space="preserve">ed </w:t>
      </w:r>
      <w:r w:rsidR="00DE7FEA" w:rsidRPr="65E079A1">
        <w:rPr>
          <w:sz w:val="22"/>
          <w:szCs w:val="22"/>
        </w:rPr>
        <w:t xml:space="preserve">for the first time </w:t>
      </w:r>
      <w:r w:rsidRPr="65E079A1">
        <w:rPr>
          <w:sz w:val="22"/>
          <w:szCs w:val="22"/>
        </w:rPr>
        <w:t>as part of the 2019</w:t>
      </w:r>
      <w:r w:rsidR="00057733" w:rsidRPr="65E079A1">
        <w:rPr>
          <w:sz w:val="22"/>
          <w:szCs w:val="22"/>
        </w:rPr>
        <w:t xml:space="preserve"> digitally</w:t>
      </w:r>
      <w:r w:rsidR="009C1ECF" w:rsidRPr="65E079A1">
        <w:rPr>
          <w:sz w:val="22"/>
          <w:szCs w:val="22"/>
        </w:rPr>
        <w:t xml:space="preserve"> </w:t>
      </w:r>
      <w:r w:rsidR="00057733" w:rsidRPr="65E079A1">
        <w:rPr>
          <w:sz w:val="22"/>
          <w:szCs w:val="22"/>
        </w:rPr>
        <w:t>based assessment (</w:t>
      </w:r>
      <w:r w:rsidRPr="65E079A1">
        <w:rPr>
          <w:sz w:val="22"/>
          <w:szCs w:val="22"/>
        </w:rPr>
        <w:t>DBA</w:t>
      </w:r>
      <w:r w:rsidR="00057733" w:rsidRPr="65E079A1">
        <w:rPr>
          <w:sz w:val="22"/>
          <w:szCs w:val="22"/>
        </w:rPr>
        <w:t>)</w:t>
      </w:r>
      <w:r w:rsidRPr="65E079A1">
        <w:rPr>
          <w:sz w:val="22"/>
          <w:szCs w:val="22"/>
        </w:rPr>
        <w:t xml:space="preserve"> assessment</w:t>
      </w:r>
      <w:r w:rsidR="00F76532" w:rsidRPr="65E079A1">
        <w:rPr>
          <w:sz w:val="22"/>
          <w:szCs w:val="22"/>
        </w:rPr>
        <w:t>s at grades 4, 8</w:t>
      </w:r>
      <w:r w:rsidR="00E23F1C" w:rsidRPr="65E079A1">
        <w:rPr>
          <w:sz w:val="22"/>
          <w:szCs w:val="22"/>
        </w:rPr>
        <w:t>,</w:t>
      </w:r>
      <w:r w:rsidR="00F76532" w:rsidRPr="65E079A1">
        <w:rPr>
          <w:sz w:val="22"/>
          <w:szCs w:val="22"/>
        </w:rPr>
        <w:t xml:space="preserve"> and 12</w:t>
      </w:r>
      <w:r w:rsidRPr="65E079A1">
        <w:rPr>
          <w:sz w:val="22"/>
          <w:szCs w:val="22"/>
        </w:rPr>
        <w:t>. Science SBTs have been administered and analyzed in some limited fashion in the past in the form of proof of concept, probe</w:t>
      </w:r>
      <w:r w:rsidR="2166C3A1" w:rsidRPr="65E079A1">
        <w:rPr>
          <w:sz w:val="22"/>
          <w:szCs w:val="22"/>
        </w:rPr>
        <w:t>,</w:t>
      </w:r>
      <w:r w:rsidRPr="65E079A1">
        <w:rPr>
          <w:sz w:val="22"/>
          <w:szCs w:val="22"/>
        </w:rPr>
        <w:t xml:space="preserve"> or pilot administrations</w:t>
      </w:r>
      <w:r w:rsidR="00057733" w:rsidRPr="65E079A1">
        <w:rPr>
          <w:sz w:val="22"/>
          <w:szCs w:val="22"/>
        </w:rPr>
        <w:t xml:space="preserve"> since 2007</w:t>
      </w:r>
      <w:r w:rsidR="00505430" w:rsidRPr="65E079A1">
        <w:rPr>
          <w:sz w:val="22"/>
          <w:szCs w:val="22"/>
        </w:rPr>
        <w:t>.</w:t>
      </w:r>
      <w:r w:rsidRPr="65E079A1">
        <w:rPr>
          <w:sz w:val="22"/>
          <w:szCs w:val="22"/>
        </w:rPr>
        <w:t xml:space="preserve"> </w:t>
      </w:r>
      <w:r w:rsidR="00505430" w:rsidRPr="65E079A1">
        <w:rPr>
          <w:sz w:val="22"/>
          <w:szCs w:val="22"/>
        </w:rPr>
        <w:t xml:space="preserve">However, </w:t>
      </w:r>
      <w:r w:rsidRPr="65E079A1">
        <w:rPr>
          <w:sz w:val="22"/>
          <w:szCs w:val="22"/>
        </w:rPr>
        <w:t xml:space="preserve">2019 represents the first administration where </w:t>
      </w:r>
      <w:r w:rsidR="008518AD" w:rsidRPr="65E079A1">
        <w:rPr>
          <w:sz w:val="22"/>
          <w:szCs w:val="22"/>
        </w:rPr>
        <w:t xml:space="preserve">the </w:t>
      </w:r>
      <w:r w:rsidR="007D0A68" w:rsidRPr="65E079A1">
        <w:rPr>
          <w:sz w:val="22"/>
          <w:szCs w:val="22"/>
        </w:rPr>
        <w:t xml:space="preserve">NAEP </w:t>
      </w:r>
      <w:r w:rsidR="00FA5AD5" w:rsidRPr="65E079A1">
        <w:rPr>
          <w:sz w:val="22"/>
          <w:szCs w:val="22"/>
        </w:rPr>
        <w:t>s</w:t>
      </w:r>
      <w:r w:rsidR="007D0A68" w:rsidRPr="65E079A1">
        <w:rPr>
          <w:sz w:val="22"/>
          <w:szCs w:val="22"/>
        </w:rPr>
        <w:t>cience operational</w:t>
      </w:r>
      <w:r w:rsidR="008518AD" w:rsidRPr="65E079A1">
        <w:rPr>
          <w:sz w:val="22"/>
          <w:szCs w:val="22"/>
        </w:rPr>
        <w:t xml:space="preserve"> assessments </w:t>
      </w:r>
      <w:r w:rsidR="005A5BBE" w:rsidRPr="65E079A1">
        <w:rPr>
          <w:sz w:val="22"/>
          <w:szCs w:val="22"/>
        </w:rPr>
        <w:t xml:space="preserve">at all three grades were designed to allow the integration of </w:t>
      </w:r>
      <w:r w:rsidRPr="65E079A1">
        <w:rPr>
          <w:sz w:val="22"/>
          <w:szCs w:val="22"/>
        </w:rPr>
        <w:t>SBTs</w:t>
      </w:r>
      <w:r w:rsidR="00505430" w:rsidRPr="65E079A1">
        <w:rPr>
          <w:sz w:val="22"/>
          <w:szCs w:val="22"/>
        </w:rPr>
        <w:t xml:space="preserve"> into the main reporting scales</w:t>
      </w:r>
      <w:r w:rsidRPr="65E079A1">
        <w:rPr>
          <w:sz w:val="22"/>
          <w:szCs w:val="22"/>
        </w:rPr>
        <w:t xml:space="preserve">. </w:t>
      </w:r>
      <w:r w:rsidR="00057733" w:rsidRPr="65E079A1">
        <w:rPr>
          <w:sz w:val="22"/>
          <w:szCs w:val="22"/>
        </w:rPr>
        <w:t xml:space="preserve">A study was conducted to evaluate </w:t>
      </w:r>
      <w:r w:rsidR="001D1F27" w:rsidRPr="65E079A1">
        <w:rPr>
          <w:sz w:val="22"/>
          <w:szCs w:val="22"/>
        </w:rPr>
        <w:t>the suitability of including</w:t>
      </w:r>
      <w:r w:rsidR="00E8315B" w:rsidRPr="65E079A1">
        <w:rPr>
          <w:sz w:val="22"/>
          <w:szCs w:val="22"/>
        </w:rPr>
        <w:t xml:space="preserve"> </w:t>
      </w:r>
      <w:r w:rsidR="00057733" w:rsidRPr="65E079A1">
        <w:rPr>
          <w:sz w:val="22"/>
          <w:szCs w:val="22"/>
        </w:rPr>
        <w:t>the SBT</w:t>
      </w:r>
      <w:r w:rsidR="00417A10" w:rsidRPr="65E079A1">
        <w:rPr>
          <w:sz w:val="22"/>
          <w:szCs w:val="22"/>
        </w:rPr>
        <w:t>s</w:t>
      </w:r>
      <w:r w:rsidR="00057733" w:rsidRPr="65E079A1">
        <w:rPr>
          <w:sz w:val="22"/>
          <w:szCs w:val="22"/>
        </w:rPr>
        <w:t xml:space="preserve"> together with the traditional discrete </w:t>
      </w:r>
      <w:r w:rsidR="00417A10" w:rsidRPr="65E079A1">
        <w:rPr>
          <w:sz w:val="22"/>
          <w:szCs w:val="22"/>
        </w:rPr>
        <w:t xml:space="preserve">items </w:t>
      </w:r>
      <w:r w:rsidR="00057733" w:rsidRPr="65E079A1">
        <w:rPr>
          <w:sz w:val="22"/>
          <w:szCs w:val="22"/>
        </w:rPr>
        <w:t>in the analysis and reporting of the 2019 NAEP science results.</w:t>
      </w:r>
      <w:r w:rsidR="00E265D4">
        <w:rPr>
          <w:sz w:val="22"/>
          <w:szCs w:val="22"/>
        </w:rPr>
        <w:t xml:space="preserve">  </w:t>
      </w:r>
      <w:r w:rsidR="0092127F">
        <w:rPr>
          <w:sz w:val="22"/>
          <w:szCs w:val="22"/>
        </w:rPr>
        <w:t xml:space="preserve">The 2019 NAEP science assessment included two types of SBTs:  </w:t>
      </w:r>
      <w:r w:rsidR="00904F01">
        <w:rPr>
          <w:sz w:val="22"/>
          <w:szCs w:val="22"/>
        </w:rPr>
        <w:t>interactive computer tasks (ICT) and hybrid hands-on tasks (HHO</w:t>
      </w:r>
      <w:r w:rsidR="00BC60AB">
        <w:rPr>
          <w:sz w:val="22"/>
          <w:szCs w:val="22"/>
        </w:rPr>
        <w:t>T</w:t>
      </w:r>
      <w:r w:rsidR="00904F01">
        <w:rPr>
          <w:sz w:val="22"/>
          <w:szCs w:val="22"/>
        </w:rPr>
        <w:t>)</w:t>
      </w:r>
      <w:r w:rsidR="00783653">
        <w:rPr>
          <w:sz w:val="22"/>
          <w:szCs w:val="22"/>
        </w:rPr>
        <w:t>.</w:t>
      </w:r>
    </w:p>
    <w:p w14:paraId="4ECB442D" w14:textId="24933E1C" w:rsidR="00057733" w:rsidRPr="00D07016" w:rsidRDefault="001D1F27" w:rsidP="3A656B1C">
      <w:pPr>
        <w:rPr>
          <w:sz w:val="22"/>
          <w:szCs w:val="22"/>
        </w:rPr>
      </w:pPr>
      <w:r w:rsidRPr="4C34B60F">
        <w:rPr>
          <w:sz w:val="22"/>
          <w:szCs w:val="22"/>
        </w:rPr>
        <w:t xml:space="preserve">The key question was whether the </w:t>
      </w:r>
      <w:r w:rsidR="009F53E6" w:rsidRPr="4C34B60F">
        <w:rPr>
          <w:sz w:val="22"/>
          <w:szCs w:val="22"/>
        </w:rPr>
        <w:t xml:space="preserve">unidimensional latent variable models </w:t>
      </w:r>
      <w:r w:rsidR="001D1488" w:rsidRPr="4C34B60F">
        <w:rPr>
          <w:sz w:val="22"/>
          <w:szCs w:val="22"/>
        </w:rPr>
        <w:t>we</w:t>
      </w:r>
      <w:r w:rsidR="009F53E6" w:rsidRPr="4C34B60F">
        <w:rPr>
          <w:sz w:val="22"/>
          <w:szCs w:val="22"/>
        </w:rPr>
        <w:t>re sufficient for describing the 2019 NAEP science assessment</w:t>
      </w:r>
      <w:r w:rsidR="00B71045" w:rsidRPr="4C34B60F">
        <w:rPr>
          <w:sz w:val="22"/>
          <w:szCs w:val="22"/>
        </w:rPr>
        <w:t xml:space="preserve"> data</w:t>
      </w:r>
      <w:r w:rsidR="00FD7B23" w:rsidRPr="4C34B60F">
        <w:rPr>
          <w:sz w:val="22"/>
          <w:szCs w:val="22"/>
        </w:rPr>
        <w:t>,</w:t>
      </w:r>
      <w:r w:rsidR="00B71045" w:rsidRPr="4C34B60F">
        <w:rPr>
          <w:sz w:val="22"/>
          <w:szCs w:val="22"/>
        </w:rPr>
        <w:t xml:space="preserve"> which were composed </w:t>
      </w:r>
      <w:r w:rsidR="00A27FAF" w:rsidRPr="4C34B60F">
        <w:rPr>
          <w:sz w:val="22"/>
          <w:szCs w:val="22"/>
        </w:rPr>
        <w:t>of both discrete items and SBTs.</w:t>
      </w:r>
      <w:r w:rsidRPr="4C34B60F">
        <w:rPr>
          <w:sz w:val="22"/>
          <w:szCs w:val="22"/>
        </w:rPr>
        <w:t xml:space="preserve"> If </w:t>
      </w:r>
      <w:r w:rsidR="00A27FAF" w:rsidRPr="4C34B60F">
        <w:rPr>
          <w:sz w:val="22"/>
          <w:szCs w:val="22"/>
        </w:rPr>
        <w:t xml:space="preserve">SBTs </w:t>
      </w:r>
      <w:r w:rsidR="001D535C" w:rsidRPr="4C34B60F">
        <w:rPr>
          <w:sz w:val="22"/>
          <w:szCs w:val="22"/>
        </w:rPr>
        <w:t>measure a different dimension than discrete items, then</w:t>
      </w:r>
      <w:r w:rsidRPr="4C34B60F">
        <w:rPr>
          <w:sz w:val="22"/>
          <w:szCs w:val="22"/>
        </w:rPr>
        <w:t xml:space="preserve"> incorporating the SBTs into </w:t>
      </w:r>
      <w:r w:rsidR="00F45E14" w:rsidRPr="4C34B60F">
        <w:rPr>
          <w:sz w:val="22"/>
          <w:szCs w:val="22"/>
        </w:rPr>
        <w:t xml:space="preserve">the </w:t>
      </w:r>
      <w:r w:rsidR="000769C0" w:rsidRPr="4C34B60F">
        <w:rPr>
          <w:sz w:val="22"/>
          <w:szCs w:val="22"/>
        </w:rPr>
        <w:t xml:space="preserve">NAEP science assessments </w:t>
      </w:r>
      <w:r w:rsidRPr="4C34B60F">
        <w:rPr>
          <w:sz w:val="22"/>
          <w:szCs w:val="22"/>
        </w:rPr>
        <w:t xml:space="preserve">would present a confound </w:t>
      </w:r>
      <w:r w:rsidR="009A7CFC" w:rsidRPr="4C34B60F">
        <w:rPr>
          <w:sz w:val="22"/>
          <w:szCs w:val="22"/>
        </w:rPr>
        <w:t xml:space="preserve">when comparing </w:t>
      </w:r>
      <w:r w:rsidR="00A006AF" w:rsidRPr="4C34B60F">
        <w:rPr>
          <w:sz w:val="22"/>
          <w:szCs w:val="22"/>
        </w:rPr>
        <w:t xml:space="preserve">results </w:t>
      </w:r>
      <w:r w:rsidR="00582BD7" w:rsidRPr="4C34B60F">
        <w:rPr>
          <w:sz w:val="22"/>
          <w:szCs w:val="22"/>
        </w:rPr>
        <w:t xml:space="preserve">to the </w:t>
      </w:r>
      <w:r w:rsidR="00122618" w:rsidRPr="4C34B60F">
        <w:rPr>
          <w:sz w:val="22"/>
          <w:szCs w:val="22"/>
        </w:rPr>
        <w:t>pre</w:t>
      </w:r>
      <w:r w:rsidR="008D7BA1" w:rsidRPr="4C34B60F">
        <w:rPr>
          <w:sz w:val="22"/>
          <w:szCs w:val="22"/>
        </w:rPr>
        <w:t>v</w:t>
      </w:r>
      <w:r w:rsidR="00122618" w:rsidRPr="4C34B60F">
        <w:rPr>
          <w:sz w:val="22"/>
          <w:szCs w:val="22"/>
        </w:rPr>
        <w:t xml:space="preserve">ious </w:t>
      </w:r>
      <w:r w:rsidR="001C353F" w:rsidRPr="4C34B60F">
        <w:rPr>
          <w:sz w:val="22"/>
          <w:szCs w:val="22"/>
        </w:rPr>
        <w:t>science assessments</w:t>
      </w:r>
      <w:r w:rsidR="00020BBC" w:rsidRPr="4C34B60F">
        <w:rPr>
          <w:sz w:val="22"/>
          <w:szCs w:val="22"/>
        </w:rPr>
        <w:t xml:space="preserve">, </w:t>
      </w:r>
      <w:r w:rsidR="407D8953" w:rsidRPr="4C34B60F">
        <w:rPr>
          <w:sz w:val="22"/>
          <w:szCs w:val="22"/>
        </w:rPr>
        <w:t>which</w:t>
      </w:r>
      <w:r w:rsidR="00EC28F1" w:rsidRPr="4C34B60F">
        <w:rPr>
          <w:sz w:val="22"/>
          <w:szCs w:val="22"/>
        </w:rPr>
        <w:t xml:space="preserve"> were </w:t>
      </w:r>
      <w:r w:rsidR="2FB4A917" w:rsidRPr="4C34B60F">
        <w:rPr>
          <w:sz w:val="22"/>
          <w:szCs w:val="22"/>
        </w:rPr>
        <w:t>composed</w:t>
      </w:r>
      <w:r w:rsidR="00EC28F1" w:rsidRPr="4C34B60F">
        <w:rPr>
          <w:sz w:val="22"/>
          <w:szCs w:val="22"/>
        </w:rPr>
        <w:t xml:space="preserve"> </w:t>
      </w:r>
      <w:r w:rsidR="0038447E" w:rsidRPr="4C34B60F">
        <w:rPr>
          <w:sz w:val="22"/>
          <w:szCs w:val="22"/>
        </w:rPr>
        <w:t xml:space="preserve">of only </w:t>
      </w:r>
      <w:r w:rsidR="00EC28F1" w:rsidRPr="4C34B60F">
        <w:rPr>
          <w:sz w:val="22"/>
          <w:szCs w:val="22"/>
        </w:rPr>
        <w:t>discrete items.</w:t>
      </w:r>
      <w:r w:rsidRPr="4C34B60F">
        <w:rPr>
          <w:sz w:val="22"/>
          <w:szCs w:val="22"/>
        </w:rPr>
        <w:t xml:space="preserve"> </w:t>
      </w:r>
      <w:r w:rsidR="00057733" w:rsidRPr="4C34B60F">
        <w:rPr>
          <w:sz w:val="22"/>
          <w:szCs w:val="22"/>
        </w:rPr>
        <w:t xml:space="preserve">The SBT integration evaluation </w:t>
      </w:r>
      <w:r w:rsidR="00057733" w:rsidRPr="00B4463D">
        <w:rPr>
          <w:sz w:val="22"/>
          <w:szCs w:val="22"/>
        </w:rPr>
        <w:t>comprised two main components: dimensionality analys</w:t>
      </w:r>
      <w:r w:rsidR="00B4463D" w:rsidRPr="00B4463D">
        <w:rPr>
          <w:sz w:val="22"/>
          <w:szCs w:val="22"/>
        </w:rPr>
        <w:t>e</w:t>
      </w:r>
      <w:r w:rsidR="00057733" w:rsidRPr="00B4463D">
        <w:rPr>
          <w:sz w:val="22"/>
          <w:szCs w:val="22"/>
        </w:rPr>
        <w:t xml:space="preserve">s and impact analyses on group-level scale score results. </w:t>
      </w:r>
      <w:r w:rsidRPr="00B4463D">
        <w:rPr>
          <w:sz w:val="22"/>
          <w:szCs w:val="22"/>
        </w:rPr>
        <w:t xml:space="preserve">Dimensionality </w:t>
      </w:r>
      <w:r w:rsidRPr="000D2218">
        <w:rPr>
          <w:sz w:val="22"/>
          <w:szCs w:val="22"/>
        </w:rPr>
        <w:t>analys</w:t>
      </w:r>
      <w:r w:rsidR="00B4463D" w:rsidRPr="000D2218">
        <w:rPr>
          <w:sz w:val="22"/>
          <w:szCs w:val="22"/>
        </w:rPr>
        <w:t>e</w:t>
      </w:r>
      <w:r w:rsidRPr="000D2218">
        <w:rPr>
          <w:sz w:val="22"/>
          <w:szCs w:val="22"/>
        </w:rPr>
        <w:t>s</w:t>
      </w:r>
      <w:r w:rsidRPr="00B4463D">
        <w:rPr>
          <w:sz w:val="22"/>
          <w:szCs w:val="22"/>
        </w:rPr>
        <w:t xml:space="preserve"> sought to evaluate the extent to</w:t>
      </w:r>
      <w:r w:rsidRPr="4C34B60F">
        <w:rPr>
          <w:sz w:val="22"/>
          <w:szCs w:val="22"/>
        </w:rPr>
        <w:t xml:space="preserve"> which the SBTs </w:t>
      </w:r>
      <w:r w:rsidR="00750D8F" w:rsidRPr="4C34B60F">
        <w:rPr>
          <w:sz w:val="22"/>
          <w:szCs w:val="22"/>
        </w:rPr>
        <w:t xml:space="preserve">formed a coherent trait that differed from the discrete items. </w:t>
      </w:r>
      <w:r w:rsidR="00F7394F" w:rsidRPr="4C34B60F">
        <w:rPr>
          <w:sz w:val="22"/>
          <w:szCs w:val="22"/>
        </w:rPr>
        <w:t xml:space="preserve">Impact </w:t>
      </w:r>
      <w:r w:rsidR="2BA2D0F5" w:rsidRPr="4C34B60F">
        <w:rPr>
          <w:sz w:val="22"/>
          <w:szCs w:val="22"/>
        </w:rPr>
        <w:t>analyses</w:t>
      </w:r>
      <w:r w:rsidR="00F7394F" w:rsidRPr="4C34B60F">
        <w:rPr>
          <w:sz w:val="22"/>
          <w:szCs w:val="22"/>
        </w:rPr>
        <w:t xml:space="preserve"> on group-level scale score estimation </w:t>
      </w:r>
      <w:r w:rsidR="00750D8F" w:rsidRPr="4C34B60F">
        <w:rPr>
          <w:sz w:val="22"/>
          <w:szCs w:val="22"/>
        </w:rPr>
        <w:t xml:space="preserve">serve a complementary role, addressing the question of whether </w:t>
      </w:r>
      <w:r w:rsidR="003B0F0E" w:rsidRPr="4C34B60F">
        <w:rPr>
          <w:sz w:val="22"/>
          <w:szCs w:val="22"/>
        </w:rPr>
        <w:t xml:space="preserve">the estimated scores for </w:t>
      </w:r>
      <w:r w:rsidR="00750D8F" w:rsidRPr="4C34B60F">
        <w:rPr>
          <w:sz w:val="22"/>
          <w:szCs w:val="22"/>
        </w:rPr>
        <w:t xml:space="preserve">key NAEP reporting </w:t>
      </w:r>
      <w:r w:rsidR="002343B5" w:rsidRPr="4C34B60F">
        <w:rPr>
          <w:sz w:val="22"/>
          <w:szCs w:val="22"/>
        </w:rPr>
        <w:t xml:space="preserve">variables </w:t>
      </w:r>
      <w:r w:rsidR="00750D8F" w:rsidRPr="4C34B60F">
        <w:rPr>
          <w:sz w:val="22"/>
          <w:szCs w:val="22"/>
        </w:rPr>
        <w:t>would be changed if the SBTs were to be included.</w:t>
      </w:r>
    </w:p>
    <w:p w14:paraId="07408013" w14:textId="30C44832" w:rsidR="00682870" w:rsidRPr="002702C3" w:rsidRDefault="00682870" w:rsidP="00DC0D4E">
      <w:pPr>
        <w:rPr>
          <w:sz w:val="22"/>
          <w:szCs w:val="22"/>
        </w:rPr>
      </w:pPr>
      <w:r w:rsidRPr="3A656B1C">
        <w:rPr>
          <w:sz w:val="22"/>
          <w:szCs w:val="22"/>
        </w:rPr>
        <w:t xml:space="preserve">The 2019 DBA </w:t>
      </w:r>
      <w:r w:rsidR="00241A6D" w:rsidRPr="3A656B1C">
        <w:rPr>
          <w:sz w:val="22"/>
          <w:szCs w:val="22"/>
        </w:rPr>
        <w:t>s</w:t>
      </w:r>
      <w:r w:rsidRPr="3A656B1C">
        <w:rPr>
          <w:sz w:val="22"/>
          <w:szCs w:val="22"/>
        </w:rPr>
        <w:t xml:space="preserve">cience forms </w:t>
      </w:r>
      <w:r w:rsidR="005E7DA3" w:rsidRPr="3A656B1C">
        <w:rPr>
          <w:sz w:val="22"/>
          <w:szCs w:val="22"/>
        </w:rPr>
        <w:t>were composed of two separately timed blocks of items. As a result</w:t>
      </w:r>
      <w:r w:rsidR="00960C43" w:rsidRPr="3A656B1C">
        <w:rPr>
          <w:sz w:val="22"/>
          <w:szCs w:val="22"/>
        </w:rPr>
        <w:t>,</w:t>
      </w:r>
      <w:r w:rsidR="005E7DA3" w:rsidRPr="3A656B1C">
        <w:rPr>
          <w:sz w:val="22"/>
          <w:szCs w:val="22"/>
        </w:rPr>
        <w:t xml:space="preserve"> the forms </w:t>
      </w:r>
      <w:r w:rsidRPr="3A656B1C">
        <w:rPr>
          <w:sz w:val="22"/>
          <w:szCs w:val="22"/>
        </w:rPr>
        <w:t xml:space="preserve">can be described as discrete-only (made up of two discrete </w:t>
      </w:r>
      <w:r w:rsidR="00051F5A" w:rsidRPr="3A656B1C">
        <w:rPr>
          <w:sz w:val="22"/>
          <w:szCs w:val="22"/>
        </w:rPr>
        <w:t xml:space="preserve">item </w:t>
      </w:r>
      <w:r w:rsidRPr="3A656B1C">
        <w:rPr>
          <w:sz w:val="22"/>
          <w:szCs w:val="22"/>
        </w:rPr>
        <w:t>blocks</w:t>
      </w:r>
      <w:r w:rsidR="00DC7444">
        <w:rPr>
          <w:rFonts w:ascii="ZWAdobeF" w:hAnsi="ZWAdobeF" w:cs="ZWAdobeF"/>
          <w:sz w:val="2"/>
          <w:szCs w:val="2"/>
        </w:rPr>
        <w:t>0F</w:t>
      </w:r>
      <w:r w:rsidR="001E72E6" w:rsidRPr="3A656B1C">
        <w:rPr>
          <w:rStyle w:val="FootnoteReference"/>
          <w:sz w:val="22"/>
          <w:szCs w:val="22"/>
        </w:rPr>
        <w:footnoteReference w:id="2"/>
      </w:r>
      <w:r w:rsidRPr="3A656B1C">
        <w:rPr>
          <w:sz w:val="22"/>
          <w:szCs w:val="22"/>
        </w:rPr>
        <w:t xml:space="preserve">), mixed (with </w:t>
      </w:r>
      <w:r w:rsidR="3B04598B" w:rsidRPr="4C34B60F">
        <w:rPr>
          <w:sz w:val="22"/>
          <w:szCs w:val="22"/>
        </w:rPr>
        <w:t>one</w:t>
      </w:r>
      <w:r w:rsidRPr="3A656B1C">
        <w:rPr>
          <w:sz w:val="22"/>
          <w:szCs w:val="22"/>
        </w:rPr>
        <w:t xml:space="preserve"> discrete and </w:t>
      </w:r>
      <w:r w:rsidR="12CF7DD5" w:rsidRPr="4C34B60F">
        <w:rPr>
          <w:sz w:val="22"/>
          <w:szCs w:val="22"/>
        </w:rPr>
        <w:t>one</w:t>
      </w:r>
      <w:r w:rsidRPr="3A656B1C">
        <w:rPr>
          <w:sz w:val="22"/>
          <w:szCs w:val="22"/>
        </w:rPr>
        <w:t xml:space="preserve"> SBT block) and SBT-only (made up of </w:t>
      </w:r>
      <w:r w:rsidR="2A0DE72F" w:rsidRPr="4C34B60F">
        <w:rPr>
          <w:sz w:val="22"/>
          <w:szCs w:val="22"/>
        </w:rPr>
        <w:t>two</w:t>
      </w:r>
      <w:r w:rsidRPr="3A656B1C">
        <w:rPr>
          <w:sz w:val="22"/>
          <w:szCs w:val="22"/>
        </w:rPr>
        <w:t xml:space="preserve"> SBT blocks). </w:t>
      </w:r>
      <w:r w:rsidR="00960C43" w:rsidRPr="3A656B1C">
        <w:rPr>
          <w:sz w:val="22"/>
          <w:szCs w:val="22"/>
        </w:rPr>
        <w:t xml:space="preserve">All three grades used 30-minute long </w:t>
      </w:r>
      <w:r w:rsidR="00557251" w:rsidRPr="3A656B1C">
        <w:rPr>
          <w:sz w:val="22"/>
          <w:szCs w:val="22"/>
        </w:rPr>
        <w:t>SBTs</w:t>
      </w:r>
      <w:r w:rsidR="00DC7444">
        <w:rPr>
          <w:rFonts w:ascii="ZWAdobeF" w:hAnsi="ZWAdobeF" w:cs="ZWAdobeF"/>
          <w:sz w:val="2"/>
          <w:szCs w:val="2"/>
        </w:rPr>
        <w:t>1F</w:t>
      </w:r>
      <w:r w:rsidR="00960C43" w:rsidRPr="3A656B1C">
        <w:rPr>
          <w:rStyle w:val="FootnoteReference"/>
          <w:sz w:val="22"/>
          <w:szCs w:val="22"/>
        </w:rPr>
        <w:footnoteReference w:id="3"/>
      </w:r>
      <w:r w:rsidR="00960C43" w:rsidRPr="3A656B1C">
        <w:rPr>
          <w:sz w:val="22"/>
          <w:szCs w:val="22"/>
        </w:rPr>
        <w:t xml:space="preserve">. </w:t>
      </w:r>
      <w:r w:rsidR="00F4680B" w:rsidRPr="3A656B1C">
        <w:rPr>
          <w:sz w:val="22"/>
          <w:szCs w:val="22"/>
        </w:rPr>
        <w:t xml:space="preserve">The preponderance of discrete </w:t>
      </w:r>
      <w:r w:rsidR="006941B1" w:rsidRPr="3A656B1C">
        <w:rPr>
          <w:sz w:val="22"/>
          <w:szCs w:val="22"/>
        </w:rPr>
        <w:t>items/</w:t>
      </w:r>
      <w:r w:rsidR="00F4680B" w:rsidRPr="3A656B1C">
        <w:rPr>
          <w:sz w:val="22"/>
          <w:szCs w:val="22"/>
        </w:rPr>
        <w:t xml:space="preserve">blocks </w:t>
      </w:r>
      <w:r w:rsidR="006941B1" w:rsidRPr="3A656B1C">
        <w:rPr>
          <w:sz w:val="22"/>
          <w:szCs w:val="22"/>
        </w:rPr>
        <w:t xml:space="preserve">in the assessments </w:t>
      </w:r>
      <w:r w:rsidR="00F4680B" w:rsidRPr="3A656B1C">
        <w:rPr>
          <w:sz w:val="22"/>
          <w:szCs w:val="22"/>
        </w:rPr>
        <w:t xml:space="preserve">resulted in uneven percentages of students receiving each kind of form. </w:t>
      </w:r>
      <w:r w:rsidRPr="3A656B1C">
        <w:rPr>
          <w:sz w:val="22"/>
          <w:szCs w:val="22"/>
        </w:rPr>
        <w:t xml:space="preserve">Table 1 contains the </w:t>
      </w:r>
      <w:r w:rsidR="00FF2E5F" w:rsidRPr="3A656B1C">
        <w:rPr>
          <w:sz w:val="22"/>
          <w:szCs w:val="22"/>
        </w:rPr>
        <w:t>unweighted</w:t>
      </w:r>
      <w:r w:rsidRPr="3A656B1C">
        <w:rPr>
          <w:sz w:val="22"/>
          <w:szCs w:val="22"/>
        </w:rPr>
        <w:t xml:space="preserve"> </w:t>
      </w:r>
      <w:r w:rsidR="00AF331F" w:rsidRPr="3A656B1C">
        <w:rPr>
          <w:sz w:val="22"/>
          <w:szCs w:val="22"/>
        </w:rPr>
        <w:t xml:space="preserve">rounded sample size and </w:t>
      </w:r>
      <w:r w:rsidRPr="3A656B1C">
        <w:rPr>
          <w:sz w:val="22"/>
          <w:szCs w:val="22"/>
        </w:rPr>
        <w:t xml:space="preserve">percentage of students by form and grade. </w:t>
      </w:r>
    </w:p>
    <w:p w14:paraId="0FDE6934" w14:textId="02E124EC" w:rsidR="00682870" w:rsidRPr="002702C3" w:rsidRDefault="00682870" w:rsidP="00DC0D4E">
      <w:pPr>
        <w:rPr>
          <w:sz w:val="22"/>
          <w:szCs w:val="22"/>
        </w:rPr>
      </w:pPr>
      <w:r w:rsidRPr="3A656B1C">
        <w:rPr>
          <w:sz w:val="22"/>
          <w:szCs w:val="22"/>
        </w:rPr>
        <w:t>Table 1</w:t>
      </w:r>
      <w:r w:rsidR="002702C3" w:rsidRPr="3A656B1C">
        <w:rPr>
          <w:sz w:val="22"/>
          <w:szCs w:val="22"/>
        </w:rPr>
        <w:t xml:space="preserve">.  </w:t>
      </w:r>
      <w:r w:rsidR="00FF2E5F" w:rsidRPr="3A656B1C">
        <w:rPr>
          <w:sz w:val="22"/>
          <w:szCs w:val="22"/>
        </w:rPr>
        <w:t>Unweighted s</w:t>
      </w:r>
      <w:r w:rsidR="00A6573E" w:rsidRPr="3A656B1C">
        <w:rPr>
          <w:sz w:val="22"/>
          <w:szCs w:val="22"/>
        </w:rPr>
        <w:t>ample si</w:t>
      </w:r>
      <w:r w:rsidR="000B1E53" w:rsidRPr="3A656B1C">
        <w:rPr>
          <w:sz w:val="22"/>
          <w:szCs w:val="22"/>
        </w:rPr>
        <w:t>z</w:t>
      </w:r>
      <w:r w:rsidR="00A6573E" w:rsidRPr="3A656B1C">
        <w:rPr>
          <w:sz w:val="22"/>
          <w:szCs w:val="22"/>
        </w:rPr>
        <w:t>e</w:t>
      </w:r>
      <w:r w:rsidR="000B1E53" w:rsidRPr="3A656B1C">
        <w:rPr>
          <w:sz w:val="22"/>
          <w:szCs w:val="22"/>
        </w:rPr>
        <w:t xml:space="preserve"> (N)</w:t>
      </w:r>
      <w:r w:rsidR="003441C1" w:rsidRPr="3A656B1C">
        <w:rPr>
          <w:sz w:val="22"/>
          <w:szCs w:val="22"/>
        </w:rPr>
        <w:t xml:space="preserve"> and p</w:t>
      </w:r>
      <w:r w:rsidRPr="3A656B1C">
        <w:rPr>
          <w:sz w:val="22"/>
          <w:szCs w:val="22"/>
        </w:rPr>
        <w:t>ercentage of students by form type and grade</w:t>
      </w:r>
    </w:p>
    <w:tbl>
      <w:tblPr>
        <w:tblW w:w="9055" w:type="dxa"/>
        <w:tblLook w:val="04A0" w:firstRow="1" w:lastRow="0" w:firstColumn="1" w:lastColumn="0" w:noHBand="0" w:noVBand="1"/>
      </w:tblPr>
      <w:tblGrid>
        <w:gridCol w:w="2880"/>
        <w:gridCol w:w="599"/>
        <w:gridCol w:w="109"/>
        <w:gridCol w:w="142"/>
        <w:gridCol w:w="1191"/>
        <w:gridCol w:w="14"/>
        <w:gridCol w:w="451"/>
        <w:gridCol w:w="244"/>
        <w:gridCol w:w="270"/>
        <w:gridCol w:w="270"/>
        <w:gridCol w:w="990"/>
        <w:gridCol w:w="174"/>
        <w:gridCol w:w="478"/>
        <w:gridCol w:w="338"/>
        <w:gridCol w:w="905"/>
      </w:tblGrid>
      <w:tr w:rsidR="00326A06" w:rsidRPr="00605BE7" w14:paraId="21709E01" w14:textId="77777777" w:rsidTr="00392453">
        <w:trPr>
          <w:trHeight w:val="290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6BA71" w14:textId="20500B8C" w:rsidR="00326A06" w:rsidRPr="002702C3" w:rsidRDefault="00326A06" w:rsidP="00682870">
            <w:pPr>
              <w:spacing w:after="0" w:line="240" w:lineRule="auto"/>
              <w:rPr>
                <w:rFonts w:eastAsia="Times New Roman" w:cstheme="minorHAnsi"/>
                <w:sz w:val="22"/>
                <w:szCs w:val="23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AC516" w14:textId="77777777" w:rsidR="00326A06" w:rsidRPr="00605BE7" w:rsidRDefault="00326A06" w:rsidP="006828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3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2699F" w14:textId="77777777" w:rsidR="00326A06" w:rsidRPr="00605BE7" w:rsidRDefault="00326A06" w:rsidP="0058290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2"/>
                <w:szCs w:val="23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D5E2A" w14:textId="77146E45" w:rsidR="00326A06" w:rsidRPr="00605BE7" w:rsidRDefault="00326A06" w:rsidP="006A76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3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3"/>
              </w:rPr>
              <w:t>Grade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B76FC" w14:textId="00324F41" w:rsidR="00326A06" w:rsidRPr="00605BE7" w:rsidRDefault="00326A06" w:rsidP="001F5D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2"/>
                <w:szCs w:val="23"/>
              </w:rPr>
            </w:pPr>
          </w:p>
        </w:tc>
      </w:tr>
      <w:tr w:rsidR="00326A06" w:rsidRPr="00605BE7" w14:paraId="1C9279CE" w14:textId="77777777" w:rsidTr="00392453">
        <w:trPr>
          <w:trHeight w:val="290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5AF6" w14:textId="49D0EB8D" w:rsidR="00326A06" w:rsidRPr="002702C3" w:rsidRDefault="00326A06" w:rsidP="0068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3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895CC" w14:textId="77777777" w:rsidR="00326A06" w:rsidRPr="00605BE7" w:rsidRDefault="00326A06" w:rsidP="0058290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2"/>
                <w:szCs w:val="23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07DF7" w14:textId="040202AB" w:rsidR="00326A06" w:rsidRPr="00605BE7" w:rsidRDefault="00326A06" w:rsidP="003F01A6">
            <w:pPr>
              <w:spacing w:after="0" w:line="240" w:lineRule="auto"/>
              <w:ind w:left="-73"/>
              <w:rPr>
                <w:rFonts w:eastAsia="Times New Roman" w:cstheme="minorHAnsi"/>
                <w:b/>
                <w:color w:val="000000"/>
                <w:sz w:val="22"/>
                <w:szCs w:val="23"/>
              </w:rPr>
            </w:pPr>
            <w:r w:rsidRPr="00605BE7">
              <w:rPr>
                <w:rFonts w:eastAsia="Times New Roman" w:cstheme="minorHAnsi"/>
                <w:b/>
                <w:color w:val="000000"/>
                <w:sz w:val="22"/>
                <w:szCs w:val="23"/>
              </w:rPr>
              <w:t>4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9FEEB" w14:textId="77777777" w:rsidR="00326A06" w:rsidRPr="00605BE7" w:rsidRDefault="00326A06" w:rsidP="0058290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2"/>
                <w:szCs w:val="23"/>
              </w:rPr>
            </w:pPr>
          </w:p>
        </w:tc>
        <w:tc>
          <w:tcPr>
            <w:tcW w:w="1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D241B" w14:textId="67A75C6D" w:rsidR="00326A06" w:rsidRPr="00605BE7" w:rsidRDefault="003F01A6" w:rsidP="006A76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2"/>
                <w:szCs w:val="23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3"/>
              </w:rPr>
              <w:t xml:space="preserve">  </w:t>
            </w:r>
            <w:r w:rsidR="00326A06" w:rsidRPr="00605BE7">
              <w:rPr>
                <w:rFonts w:eastAsia="Times New Roman" w:cstheme="minorHAnsi"/>
                <w:b/>
                <w:color w:val="000000"/>
                <w:sz w:val="22"/>
                <w:szCs w:val="23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95F6A" w14:textId="77777777" w:rsidR="00326A06" w:rsidRPr="00605BE7" w:rsidRDefault="00326A06" w:rsidP="0058290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2"/>
                <w:szCs w:val="23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EDC34" w14:textId="20D9539D" w:rsidR="00326A06" w:rsidRPr="00605BE7" w:rsidRDefault="00326A06" w:rsidP="006A7626">
            <w:pPr>
              <w:spacing w:after="0" w:line="240" w:lineRule="auto"/>
              <w:ind w:left="-135"/>
              <w:rPr>
                <w:rFonts w:eastAsia="Times New Roman" w:cstheme="minorHAnsi"/>
                <w:b/>
                <w:color w:val="000000"/>
                <w:sz w:val="22"/>
                <w:szCs w:val="23"/>
              </w:rPr>
            </w:pPr>
            <w:r w:rsidRPr="00605BE7">
              <w:rPr>
                <w:rFonts w:eastAsia="Times New Roman" w:cstheme="minorHAnsi"/>
                <w:b/>
                <w:color w:val="000000"/>
                <w:sz w:val="22"/>
                <w:szCs w:val="23"/>
              </w:rPr>
              <w:t>12</w:t>
            </w:r>
          </w:p>
        </w:tc>
      </w:tr>
      <w:tr w:rsidR="00326A06" w:rsidRPr="00605BE7" w14:paraId="4B87BAAE" w14:textId="77777777" w:rsidTr="00392453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853D3" w14:textId="784F67D4" w:rsidR="00326A06" w:rsidRPr="00605BE7" w:rsidRDefault="00326A06" w:rsidP="006828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Form type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448006" w14:textId="54A48637" w:rsidR="00326A06" w:rsidRPr="00605BE7" w:rsidRDefault="00326A06" w:rsidP="00744E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F02CC3" w14:textId="23158289" w:rsidR="00326A06" w:rsidRPr="00605BE7" w:rsidRDefault="00326A06" w:rsidP="006A76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Percentage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F212B9" w14:textId="399313F7" w:rsidR="00326A06" w:rsidRPr="00605BE7" w:rsidRDefault="00326A06" w:rsidP="00744E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C533E6" w14:textId="60EE88F8" w:rsidR="00326A06" w:rsidRPr="00605BE7" w:rsidRDefault="00326A06" w:rsidP="006A76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3A656B1C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Percentage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64DF97" w14:textId="3A098170" w:rsidR="00326A06" w:rsidRPr="00605BE7" w:rsidRDefault="00326A06" w:rsidP="00744E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E25FF3" w14:textId="00DFADED" w:rsidR="00326A06" w:rsidRPr="00605BE7" w:rsidRDefault="00326A06" w:rsidP="006A76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Percentage</w:t>
            </w:r>
          </w:p>
        </w:tc>
      </w:tr>
      <w:tr w:rsidR="00326A06" w:rsidRPr="0011005F" w14:paraId="43334CC2" w14:textId="77777777" w:rsidTr="00392453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8F2E" w14:textId="09AEF06E" w:rsidR="00326A06" w:rsidRPr="00326A06" w:rsidRDefault="00326A06" w:rsidP="0068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26A06">
              <w:rPr>
                <w:rFonts w:eastAsia="Times New Roman" w:cstheme="minorHAnsi"/>
                <w:color w:val="000000"/>
                <w:sz w:val="22"/>
                <w:szCs w:val="22"/>
              </w:rPr>
              <w:t>Discrete-only form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3C033" w14:textId="5729F5D5" w:rsidR="00326A06" w:rsidRPr="00605BE7" w:rsidRDefault="00326A06" w:rsidP="006A762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13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,</w:t>
            </w: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AC28" w14:textId="5147FF23" w:rsidR="00326A06" w:rsidRPr="00605BE7" w:rsidRDefault="00326A06" w:rsidP="006A762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67%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6660D" w14:textId="7DBA7568" w:rsidR="00326A06" w:rsidRPr="00605BE7" w:rsidRDefault="00326A06" w:rsidP="006A762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12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,</w:t>
            </w: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4936" w14:textId="514ABDF6" w:rsidR="00326A06" w:rsidRPr="00605BE7" w:rsidRDefault="00326A06" w:rsidP="006A762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11CC7" w14:textId="5F0B1802" w:rsidR="00326A06" w:rsidRPr="00605BE7" w:rsidRDefault="00326A06" w:rsidP="006A762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11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,</w:t>
            </w: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4573" w14:textId="4F0AB57B" w:rsidR="00326A06" w:rsidRPr="00605BE7" w:rsidRDefault="00326A06" w:rsidP="006A762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66%</w:t>
            </w:r>
          </w:p>
        </w:tc>
      </w:tr>
      <w:tr w:rsidR="00326A06" w:rsidRPr="0011005F" w14:paraId="6E4CE24E" w14:textId="77777777" w:rsidTr="003F01A6">
        <w:trPr>
          <w:trHeight w:val="290"/>
        </w:trPr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8253" w14:textId="793572C2" w:rsidR="00326A06" w:rsidRPr="00326A06" w:rsidRDefault="00326A06" w:rsidP="0068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26A06">
              <w:rPr>
                <w:rFonts w:eastAsia="Times New Roman" w:cstheme="minorHAnsi"/>
                <w:color w:val="000000"/>
                <w:sz w:val="22"/>
                <w:szCs w:val="22"/>
              </w:rPr>
              <w:t>Discrete/SBT (mixed) form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</w:tcPr>
          <w:p w14:paraId="369AB882" w14:textId="7FC8D653" w:rsidR="00326A06" w:rsidRPr="00605BE7" w:rsidRDefault="00326A06" w:rsidP="006A762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5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,</w:t>
            </w: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6773" w14:textId="659C41F1" w:rsidR="00326A06" w:rsidRPr="00605BE7" w:rsidRDefault="00326A06" w:rsidP="006A762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right w:val="nil"/>
            </w:tcBorders>
          </w:tcPr>
          <w:p w14:paraId="6DBFCBE5" w14:textId="75371628" w:rsidR="00326A06" w:rsidRPr="00605BE7" w:rsidRDefault="00326A06" w:rsidP="006A762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6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,</w:t>
            </w: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4A39" w14:textId="4345F474" w:rsidR="00326A06" w:rsidRPr="00605BE7" w:rsidRDefault="00326A06" w:rsidP="006A762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34%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right w:val="nil"/>
            </w:tcBorders>
          </w:tcPr>
          <w:p w14:paraId="761A34ED" w14:textId="47A4FC2A" w:rsidR="00326A06" w:rsidRPr="00605BE7" w:rsidRDefault="00326A06" w:rsidP="006A762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4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,</w:t>
            </w: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1CF6" w14:textId="23119F55" w:rsidR="00326A06" w:rsidRPr="00605BE7" w:rsidRDefault="00326A06" w:rsidP="006A762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25%</w:t>
            </w:r>
          </w:p>
        </w:tc>
      </w:tr>
      <w:tr w:rsidR="00326A06" w:rsidRPr="007827D0" w14:paraId="7638B699" w14:textId="77777777" w:rsidTr="00392453">
        <w:trPr>
          <w:trHeight w:val="290"/>
        </w:trPr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BB7B" w14:textId="6CB73874" w:rsidR="00326A06" w:rsidRPr="00326A06" w:rsidRDefault="00326A06" w:rsidP="0068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26A06">
              <w:rPr>
                <w:rFonts w:eastAsia="Times New Roman" w:cstheme="minorHAnsi"/>
                <w:color w:val="000000"/>
                <w:sz w:val="22"/>
                <w:szCs w:val="22"/>
              </w:rPr>
              <w:t>SBT-only form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</w:tcPr>
          <w:p w14:paraId="7F913031" w14:textId="56D32836" w:rsidR="00326A06" w:rsidRPr="00605BE7" w:rsidRDefault="00326A06" w:rsidP="006A762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,</w:t>
            </w: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BF4" w14:textId="5F3B4349" w:rsidR="00326A06" w:rsidRPr="00605BE7" w:rsidRDefault="00326A06" w:rsidP="006A762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right w:val="nil"/>
            </w:tcBorders>
          </w:tcPr>
          <w:p w14:paraId="5E266460" w14:textId="19C8C5C9" w:rsidR="00326A06" w:rsidRPr="00605BE7" w:rsidRDefault="00326A06" w:rsidP="006A762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10F2" w14:textId="4DEB7CFA" w:rsidR="00326A06" w:rsidRPr="00605BE7" w:rsidRDefault="00326A06" w:rsidP="006A762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right w:val="nil"/>
            </w:tcBorders>
          </w:tcPr>
          <w:p w14:paraId="30B9EDA2" w14:textId="1F6A9F44" w:rsidR="00326A06" w:rsidRPr="00605BE7" w:rsidRDefault="00326A06" w:rsidP="006A762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,</w:t>
            </w: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DB53" w14:textId="7A15C881" w:rsidR="00326A06" w:rsidRPr="00605BE7" w:rsidRDefault="00326A06" w:rsidP="006A762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9%</w:t>
            </w:r>
          </w:p>
        </w:tc>
      </w:tr>
      <w:tr w:rsidR="00326A06" w:rsidRPr="007827D0" w14:paraId="07510419" w14:textId="77777777" w:rsidTr="00392453">
        <w:trPr>
          <w:trHeight w:val="162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6A95DD" w14:textId="458AEF86" w:rsidR="00326A06" w:rsidRPr="00326A06" w:rsidRDefault="00326A06" w:rsidP="0068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26A06">
              <w:rPr>
                <w:rFonts w:eastAsia="Times New Roman" w:cstheme="minorHAns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1CDF" w14:textId="1E58FE8C" w:rsidR="00326A06" w:rsidRPr="00605BE7" w:rsidRDefault="00326A06" w:rsidP="006A762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4C34B60F">
              <w:rPr>
                <w:rFonts w:eastAsia="Times New Roman"/>
                <w:color w:val="000000" w:themeColor="text1"/>
                <w:sz w:val="22"/>
                <w:szCs w:val="22"/>
              </w:rPr>
              <w:t>20</w:t>
            </w:r>
            <w:r>
              <w:rPr>
                <w:rFonts w:eastAsia="Times New Roman"/>
                <w:color w:val="000000" w:themeColor="text1"/>
                <w:sz w:val="22"/>
                <w:szCs w:val="22"/>
              </w:rPr>
              <w:t>,</w:t>
            </w:r>
            <w:r w:rsidRPr="4C34B60F">
              <w:rPr>
                <w:rFonts w:eastAsia="Times New Roman"/>
                <w:color w:val="000000" w:themeColor="text1"/>
                <w:sz w:val="22"/>
                <w:szCs w:val="22"/>
              </w:rPr>
              <w:t>230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D46BD6" w14:textId="7F008462" w:rsidR="00326A06" w:rsidRPr="00605BE7" w:rsidRDefault="00326A06" w:rsidP="006A762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99589" w14:textId="5D59F4A4" w:rsidR="00326A06" w:rsidRPr="00605BE7" w:rsidRDefault="00326A06" w:rsidP="006A762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20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,</w:t>
            </w: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2A635D" w14:textId="2D03F115" w:rsidR="00326A06" w:rsidRPr="00605BE7" w:rsidRDefault="00326A06" w:rsidP="006A762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2C246" w14:textId="054A5106" w:rsidR="00326A06" w:rsidRPr="00E236E3" w:rsidRDefault="00326A06" w:rsidP="006A7626">
            <w:pPr>
              <w:spacing w:after="0" w:line="240" w:lineRule="auto"/>
              <w:rPr>
                <w:rFonts w:eastAsia="Times New Roman"/>
                <w:bCs/>
                <w:color w:val="FF0000"/>
                <w:sz w:val="22"/>
                <w:szCs w:val="22"/>
              </w:rPr>
            </w:pPr>
            <w:r w:rsidRPr="00E236E3">
              <w:rPr>
                <w:rFonts w:eastAsia="Times New Roman"/>
                <w:bCs/>
                <w:sz w:val="22"/>
                <w:szCs w:val="22"/>
              </w:rPr>
              <w:t>17,290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53C8F3" w14:textId="24E0BF9C" w:rsidR="00326A06" w:rsidRPr="00605BE7" w:rsidRDefault="00326A06" w:rsidP="006A7626">
            <w:pPr>
              <w:spacing w:after="0" w:line="36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100%</w:t>
            </w:r>
          </w:p>
        </w:tc>
      </w:tr>
    </w:tbl>
    <w:p w14:paraId="4BF0A926" w14:textId="77777777" w:rsidR="007932D7" w:rsidRDefault="007932D7" w:rsidP="00682870">
      <w:pPr>
        <w:rPr>
          <w:rFonts w:ascii="Garamond" w:hAnsi="Garamond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  <w:u w:val="single"/>
        </w:rPr>
        <w:br w:type="page"/>
      </w:r>
    </w:p>
    <w:p w14:paraId="6658FB6F" w14:textId="76AFA8EE" w:rsidR="00682870" w:rsidRPr="00374975" w:rsidRDefault="00682870" w:rsidP="00682870">
      <w:pPr>
        <w:rPr>
          <w:rFonts w:asciiTheme="majorHAnsi" w:hAnsiTheme="majorHAnsi" w:cstheme="majorHAnsi"/>
          <w:b/>
          <w:sz w:val="31"/>
          <w:szCs w:val="31"/>
        </w:rPr>
      </w:pPr>
      <w:r w:rsidRPr="00374975">
        <w:rPr>
          <w:rFonts w:asciiTheme="majorHAnsi" w:hAnsiTheme="majorHAnsi" w:cstheme="majorHAnsi"/>
          <w:b/>
          <w:sz w:val="31"/>
          <w:szCs w:val="31"/>
        </w:rPr>
        <w:lastRenderedPageBreak/>
        <w:t>Dimensionality Analyses</w:t>
      </w:r>
    </w:p>
    <w:p w14:paraId="7EB2CB74" w14:textId="0A7CD9E4" w:rsidR="00682870" w:rsidRPr="007932D7" w:rsidRDefault="00682870" w:rsidP="00AB4AF6">
      <w:pPr>
        <w:rPr>
          <w:sz w:val="22"/>
          <w:szCs w:val="22"/>
        </w:rPr>
      </w:pPr>
      <w:r w:rsidRPr="3A656B1C">
        <w:rPr>
          <w:sz w:val="22"/>
          <w:szCs w:val="22"/>
        </w:rPr>
        <w:t xml:space="preserve">In the dimensionality analyses, the goal was to </w:t>
      </w:r>
      <w:r w:rsidR="00C9568C" w:rsidRPr="3A656B1C">
        <w:rPr>
          <w:sz w:val="22"/>
          <w:szCs w:val="22"/>
        </w:rPr>
        <w:t xml:space="preserve">evaluate the dimensionality </w:t>
      </w:r>
      <w:r w:rsidR="00D95F8B" w:rsidRPr="3A656B1C">
        <w:rPr>
          <w:sz w:val="22"/>
          <w:szCs w:val="22"/>
        </w:rPr>
        <w:t xml:space="preserve">of the SBT </w:t>
      </w:r>
      <w:proofErr w:type="gramStart"/>
      <w:r w:rsidR="00D95F8B" w:rsidRPr="3A656B1C">
        <w:rPr>
          <w:sz w:val="22"/>
          <w:szCs w:val="22"/>
        </w:rPr>
        <w:t>data</w:t>
      </w:r>
      <w:proofErr w:type="gramEnd"/>
      <w:r w:rsidR="00D95F8B" w:rsidRPr="3A656B1C">
        <w:rPr>
          <w:sz w:val="22"/>
          <w:szCs w:val="22"/>
        </w:rPr>
        <w:t xml:space="preserve"> and the data </w:t>
      </w:r>
      <w:r w:rsidR="00C522E3" w:rsidRPr="3A656B1C">
        <w:rPr>
          <w:sz w:val="22"/>
          <w:szCs w:val="22"/>
        </w:rPr>
        <w:t>based on the traditional discrete</w:t>
      </w:r>
      <w:r w:rsidR="001F3F83" w:rsidRPr="3A656B1C">
        <w:rPr>
          <w:sz w:val="22"/>
          <w:szCs w:val="22"/>
        </w:rPr>
        <w:t xml:space="preserve"> item</w:t>
      </w:r>
      <w:r w:rsidR="00985FC9">
        <w:rPr>
          <w:sz w:val="22"/>
          <w:szCs w:val="22"/>
        </w:rPr>
        <w:t>s</w:t>
      </w:r>
      <w:r w:rsidR="00C522E3" w:rsidRPr="3A656B1C">
        <w:rPr>
          <w:sz w:val="22"/>
          <w:szCs w:val="22"/>
        </w:rPr>
        <w:t xml:space="preserve"> (DI) </w:t>
      </w:r>
      <w:r w:rsidR="00953CD6" w:rsidRPr="3A656B1C">
        <w:rPr>
          <w:sz w:val="22"/>
          <w:szCs w:val="22"/>
        </w:rPr>
        <w:t xml:space="preserve">in order to determine whether unidimensional models are </w:t>
      </w:r>
      <w:r w:rsidR="00E325A4" w:rsidRPr="3A656B1C">
        <w:rPr>
          <w:sz w:val="22"/>
          <w:szCs w:val="22"/>
        </w:rPr>
        <w:t>sufficient in modeling the D</w:t>
      </w:r>
      <w:r w:rsidR="00235471" w:rsidRPr="3A656B1C">
        <w:rPr>
          <w:sz w:val="22"/>
          <w:szCs w:val="22"/>
        </w:rPr>
        <w:t>I</w:t>
      </w:r>
      <w:r w:rsidR="00E325A4" w:rsidRPr="3A656B1C">
        <w:rPr>
          <w:sz w:val="22"/>
          <w:szCs w:val="22"/>
        </w:rPr>
        <w:t xml:space="preserve"> and SBT </w:t>
      </w:r>
      <w:r w:rsidR="00235471" w:rsidRPr="3A656B1C">
        <w:rPr>
          <w:sz w:val="22"/>
          <w:szCs w:val="22"/>
        </w:rPr>
        <w:t xml:space="preserve">data. </w:t>
      </w:r>
      <w:r w:rsidRPr="3A656B1C">
        <w:rPr>
          <w:sz w:val="22"/>
          <w:szCs w:val="22"/>
        </w:rPr>
        <w:t xml:space="preserve">Both exploratory and confirmatory analyses were conducted. </w:t>
      </w:r>
      <w:r w:rsidR="00F4680B" w:rsidRPr="3A656B1C">
        <w:rPr>
          <w:sz w:val="22"/>
          <w:szCs w:val="22"/>
        </w:rPr>
        <w:t xml:space="preserve">As is usual in NAEP analyses, </w:t>
      </w:r>
      <w:r w:rsidR="00542802" w:rsidRPr="3A656B1C">
        <w:rPr>
          <w:sz w:val="22"/>
          <w:szCs w:val="22"/>
        </w:rPr>
        <w:t xml:space="preserve">student </w:t>
      </w:r>
      <w:r w:rsidR="00E034C6" w:rsidRPr="3A656B1C">
        <w:rPr>
          <w:sz w:val="22"/>
          <w:szCs w:val="22"/>
        </w:rPr>
        <w:t xml:space="preserve">sampling </w:t>
      </w:r>
      <w:r w:rsidR="00542802" w:rsidRPr="3A656B1C">
        <w:rPr>
          <w:sz w:val="22"/>
          <w:szCs w:val="22"/>
        </w:rPr>
        <w:t>weights were used</w:t>
      </w:r>
      <w:r w:rsidR="00F4680B" w:rsidRPr="3A656B1C">
        <w:rPr>
          <w:sz w:val="22"/>
          <w:szCs w:val="22"/>
        </w:rPr>
        <w:t xml:space="preserve"> to adjust for the oversampling of certain </w:t>
      </w:r>
      <w:r w:rsidR="007E30D9">
        <w:rPr>
          <w:sz w:val="22"/>
          <w:szCs w:val="22"/>
        </w:rPr>
        <w:t>student groups</w:t>
      </w:r>
      <w:r w:rsidR="00F4680B" w:rsidRPr="3A656B1C">
        <w:rPr>
          <w:sz w:val="22"/>
          <w:szCs w:val="22"/>
        </w:rPr>
        <w:t>.</w:t>
      </w:r>
      <w:r w:rsidR="00270FD4" w:rsidRPr="3A656B1C">
        <w:rPr>
          <w:sz w:val="22"/>
          <w:szCs w:val="22"/>
        </w:rPr>
        <w:t xml:space="preserve"> Finally, all analyses were conducted </w:t>
      </w:r>
      <w:r w:rsidR="00283A4A" w:rsidRPr="3A656B1C">
        <w:rPr>
          <w:sz w:val="22"/>
          <w:szCs w:val="22"/>
        </w:rPr>
        <w:t>at the content</w:t>
      </w:r>
      <w:r w:rsidR="0051698A" w:rsidRPr="3A656B1C">
        <w:rPr>
          <w:sz w:val="22"/>
          <w:szCs w:val="22"/>
        </w:rPr>
        <w:t xml:space="preserve"> </w:t>
      </w:r>
      <w:r w:rsidR="00283A4A" w:rsidRPr="3A656B1C">
        <w:rPr>
          <w:sz w:val="22"/>
          <w:szCs w:val="22"/>
        </w:rPr>
        <w:t>area level</w:t>
      </w:r>
      <w:r w:rsidR="0051698A" w:rsidRPr="3A656B1C">
        <w:rPr>
          <w:sz w:val="22"/>
          <w:szCs w:val="22"/>
        </w:rPr>
        <w:t xml:space="preserve"> (</w:t>
      </w:r>
      <w:r w:rsidR="00985FC9">
        <w:rPr>
          <w:sz w:val="22"/>
          <w:szCs w:val="22"/>
        </w:rPr>
        <w:t>P</w:t>
      </w:r>
      <w:r w:rsidR="0051698A" w:rsidRPr="3A656B1C">
        <w:rPr>
          <w:sz w:val="22"/>
          <w:szCs w:val="22"/>
        </w:rPr>
        <w:t xml:space="preserve">hysical </w:t>
      </w:r>
      <w:r w:rsidR="00985FC9">
        <w:rPr>
          <w:sz w:val="22"/>
          <w:szCs w:val="22"/>
        </w:rPr>
        <w:t>S</w:t>
      </w:r>
      <w:r w:rsidR="0051698A" w:rsidRPr="3A656B1C">
        <w:rPr>
          <w:sz w:val="22"/>
          <w:szCs w:val="22"/>
        </w:rPr>
        <w:t xml:space="preserve">cience, </w:t>
      </w:r>
      <w:r w:rsidR="00985FC9">
        <w:rPr>
          <w:sz w:val="22"/>
          <w:szCs w:val="22"/>
        </w:rPr>
        <w:t>Life Science, and Earth and Space Sciences</w:t>
      </w:r>
      <w:r w:rsidR="0051698A" w:rsidRPr="3A656B1C">
        <w:rPr>
          <w:sz w:val="22"/>
          <w:szCs w:val="22"/>
        </w:rPr>
        <w:t>)</w:t>
      </w:r>
      <w:r w:rsidR="00283A4A" w:rsidRPr="3A656B1C">
        <w:rPr>
          <w:sz w:val="22"/>
          <w:szCs w:val="22"/>
        </w:rPr>
        <w:t xml:space="preserve"> as well as at the overall science level.</w:t>
      </w:r>
      <w:r w:rsidR="0051698A" w:rsidRPr="3A656B1C">
        <w:rPr>
          <w:sz w:val="22"/>
          <w:szCs w:val="22"/>
        </w:rPr>
        <w:t xml:space="preserve"> </w:t>
      </w:r>
      <w:r w:rsidR="00AF5C5F" w:rsidRPr="3A656B1C">
        <w:rPr>
          <w:sz w:val="22"/>
          <w:szCs w:val="22"/>
        </w:rPr>
        <w:t xml:space="preserve">Results for content areas are very similar to the overall results. </w:t>
      </w:r>
      <w:r w:rsidR="007F3049" w:rsidRPr="3A656B1C">
        <w:rPr>
          <w:sz w:val="22"/>
          <w:szCs w:val="22"/>
        </w:rPr>
        <w:t>F</w:t>
      </w:r>
      <w:r w:rsidR="00A36F24" w:rsidRPr="3A656B1C">
        <w:rPr>
          <w:sz w:val="22"/>
          <w:szCs w:val="22"/>
        </w:rPr>
        <w:t>or brevity, only results at the overall science level are presented</w:t>
      </w:r>
      <w:r w:rsidR="00AF5C5F" w:rsidRPr="3A656B1C">
        <w:rPr>
          <w:sz w:val="22"/>
          <w:szCs w:val="22"/>
        </w:rPr>
        <w:t xml:space="preserve"> here</w:t>
      </w:r>
      <w:r w:rsidR="00A36F24" w:rsidRPr="3A656B1C">
        <w:rPr>
          <w:sz w:val="22"/>
          <w:szCs w:val="22"/>
        </w:rPr>
        <w:t xml:space="preserve">. </w:t>
      </w:r>
    </w:p>
    <w:p w14:paraId="675D39CD" w14:textId="4A2A5EB2" w:rsidR="00682870" w:rsidRPr="00605BE7" w:rsidRDefault="00682870" w:rsidP="00AB4AF6">
      <w:pPr>
        <w:rPr>
          <w:rFonts w:asciiTheme="majorHAnsi" w:hAnsiTheme="majorHAnsi" w:cstheme="majorBidi"/>
          <w:b/>
          <w:bCs/>
          <w:color w:val="1F3762"/>
          <w:sz w:val="24"/>
          <w:szCs w:val="24"/>
        </w:rPr>
      </w:pPr>
      <w:r w:rsidRPr="3A656B1C">
        <w:rPr>
          <w:rFonts w:asciiTheme="majorHAnsi" w:hAnsiTheme="majorHAnsi" w:cstheme="majorBidi"/>
          <w:b/>
          <w:bCs/>
          <w:color w:val="1F3762"/>
          <w:sz w:val="24"/>
          <w:szCs w:val="24"/>
        </w:rPr>
        <w:t>Exploratory Analysis</w:t>
      </w:r>
    </w:p>
    <w:p w14:paraId="26EEEE7B" w14:textId="7512852C" w:rsidR="00E15810" w:rsidRDefault="00682870" w:rsidP="009B25EB">
      <w:pPr>
        <w:spacing w:after="160"/>
        <w:rPr>
          <w:sz w:val="22"/>
          <w:szCs w:val="22"/>
        </w:rPr>
      </w:pPr>
      <w:r w:rsidRPr="3A656B1C">
        <w:rPr>
          <w:sz w:val="22"/>
          <w:szCs w:val="22"/>
        </w:rPr>
        <w:t>First, exploratory factor analys</w:t>
      </w:r>
      <w:r w:rsidR="00FF3CA6">
        <w:rPr>
          <w:sz w:val="22"/>
          <w:szCs w:val="22"/>
        </w:rPr>
        <w:t>i</w:t>
      </w:r>
      <w:r w:rsidRPr="3A656B1C">
        <w:rPr>
          <w:sz w:val="22"/>
          <w:szCs w:val="22"/>
        </w:rPr>
        <w:t>s (EFA) w</w:t>
      </w:r>
      <w:r w:rsidR="00FF3CA6">
        <w:rPr>
          <w:sz w:val="22"/>
          <w:szCs w:val="22"/>
        </w:rPr>
        <w:t>as</w:t>
      </w:r>
      <w:r w:rsidRPr="3A656B1C">
        <w:rPr>
          <w:sz w:val="22"/>
          <w:szCs w:val="22"/>
        </w:rPr>
        <w:t xml:space="preserve"> conducted on the full DBA sample of students</w:t>
      </w:r>
      <w:r w:rsidRPr="3A656B1C" w:rsidDel="0019741A">
        <w:rPr>
          <w:sz w:val="22"/>
          <w:szCs w:val="22"/>
        </w:rPr>
        <w:t xml:space="preserve"> </w:t>
      </w:r>
      <w:r w:rsidRPr="3A656B1C">
        <w:rPr>
          <w:sz w:val="22"/>
          <w:szCs w:val="22"/>
        </w:rPr>
        <w:t>at each grade</w:t>
      </w:r>
      <w:r w:rsidR="002F33C0" w:rsidRPr="3A656B1C">
        <w:rPr>
          <w:sz w:val="22"/>
          <w:szCs w:val="22"/>
        </w:rPr>
        <w:t xml:space="preserve"> using </w:t>
      </w:r>
      <w:r w:rsidR="00750B17" w:rsidRPr="3A656B1C">
        <w:rPr>
          <w:sz w:val="22"/>
          <w:szCs w:val="22"/>
        </w:rPr>
        <w:t xml:space="preserve">the </w:t>
      </w:r>
      <w:r w:rsidR="001F2A2E" w:rsidRPr="3A656B1C">
        <w:rPr>
          <w:sz w:val="22"/>
          <w:szCs w:val="22"/>
        </w:rPr>
        <w:t>Mplus</w:t>
      </w:r>
      <w:r w:rsidR="00622382" w:rsidRPr="3A656B1C">
        <w:rPr>
          <w:sz w:val="22"/>
          <w:szCs w:val="22"/>
        </w:rPr>
        <w:t xml:space="preserve"> 7.2</w:t>
      </w:r>
      <w:r w:rsidR="00750B17" w:rsidRPr="3A656B1C">
        <w:rPr>
          <w:sz w:val="22"/>
          <w:szCs w:val="22"/>
        </w:rPr>
        <w:t xml:space="preserve"> software</w:t>
      </w:r>
      <w:r w:rsidR="00622382" w:rsidRPr="3A656B1C">
        <w:rPr>
          <w:sz w:val="22"/>
          <w:szCs w:val="22"/>
        </w:rPr>
        <w:t xml:space="preserve"> (Muth</w:t>
      </w:r>
      <w:r w:rsidR="008C77BE" w:rsidRPr="3A656B1C">
        <w:rPr>
          <w:sz w:val="22"/>
          <w:szCs w:val="22"/>
        </w:rPr>
        <w:t>é</w:t>
      </w:r>
      <w:r w:rsidR="00622382" w:rsidRPr="3A656B1C">
        <w:rPr>
          <w:sz w:val="22"/>
          <w:szCs w:val="22"/>
        </w:rPr>
        <w:t>n &amp; Muth</w:t>
      </w:r>
      <w:r w:rsidR="008C77BE" w:rsidRPr="3A656B1C">
        <w:rPr>
          <w:sz w:val="22"/>
          <w:szCs w:val="22"/>
        </w:rPr>
        <w:t>é</w:t>
      </w:r>
      <w:r w:rsidR="00622382" w:rsidRPr="3A656B1C">
        <w:rPr>
          <w:sz w:val="22"/>
          <w:szCs w:val="22"/>
        </w:rPr>
        <w:t>n,</w:t>
      </w:r>
      <w:r w:rsidR="6EFC0F08" w:rsidRPr="4C34B60F">
        <w:rPr>
          <w:sz w:val="22"/>
          <w:szCs w:val="22"/>
        </w:rPr>
        <w:t xml:space="preserve"> </w:t>
      </w:r>
      <w:r w:rsidR="00D51428" w:rsidRPr="3A656B1C">
        <w:rPr>
          <w:sz w:val="22"/>
          <w:szCs w:val="22"/>
        </w:rPr>
        <w:t>1998</w:t>
      </w:r>
      <w:r w:rsidR="2DF5C11E" w:rsidRPr="4C34B60F">
        <w:rPr>
          <w:sz w:val="22"/>
          <w:szCs w:val="22"/>
        </w:rPr>
        <w:t>–</w:t>
      </w:r>
      <w:r w:rsidR="00D51428" w:rsidRPr="3A656B1C">
        <w:rPr>
          <w:sz w:val="22"/>
          <w:szCs w:val="22"/>
        </w:rPr>
        <w:t>2014</w:t>
      </w:r>
      <w:r w:rsidR="00622382" w:rsidRPr="3A656B1C">
        <w:rPr>
          <w:sz w:val="22"/>
          <w:szCs w:val="22"/>
        </w:rPr>
        <w:t>)</w:t>
      </w:r>
      <w:r w:rsidRPr="3A656B1C">
        <w:rPr>
          <w:sz w:val="22"/>
          <w:szCs w:val="22"/>
        </w:rPr>
        <w:t xml:space="preserve">. </w:t>
      </w:r>
      <w:r w:rsidR="009508A9" w:rsidRPr="3A656B1C">
        <w:rPr>
          <w:sz w:val="22"/>
          <w:szCs w:val="22"/>
        </w:rPr>
        <w:t>The</w:t>
      </w:r>
      <w:r w:rsidR="0093625A" w:rsidRPr="3A656B1C">
        <w:rPr>
          <w:sz w:val="22"/>
          <w:szCs w:val="22"/>
        </w:rPr>
        <w:t xml:space="preserve"> </w:t>
      </w:r>
      <w:r w:rsidRPr="3A656B1C">
        <w:rPr>
          <w:sz w:val="22"/>
          <w:szCs w:val="22"/>
        </w:rPr>
        <w:t xml:space="preserve">EFA results were evaluated in terms of </w:t>
      </w:r>
      <w:r w:rsidR="00F61B51" w:rsidRPr="3A656B1C">
        <w:rPr>
          <w:sz w:val="22"/>
          <w:szCs w:val="22"/>
        </w:rPr>
        <w:t xml:space="preserve">Bayesian Information Criterion (BIC) </w:t>
      </w:r>
      <w:r w:rsidRPr="3A656B1C">
        <w:rPr>
          <w:sz w:val="22"/>
          <w:szCs w:val="22"/>
        </w:rPr>
        <w:t>model fit statistics (</w:t>
      </w:r>
      <w:r w:rsidR="00B73A41" w:rsidRPr="3A656B1C">
        <w:rPr>
          <w:sz w:val="22"/>
          <w:szCs w:val="22"/>
        </w:rPr>
        <w:t>lower values indicat</w:t>
      </w:r>
      <w:r w:rsidR="00B45447">
        <w:rPr>
          <w:sz w:val="22"/>
          <w:szCs w:val="22"/>
        </w:rPr>
        <w:t>e</w:t>
      </w:r>
      <w:r w:rsidR="00B73A41" w:rsidRPr="3A656B1C">
        <w:rPr>
          <w:sz w:val="22"/>
          <w:szCs w:val="22"/>
        </w:rPr>
        <w:t xml:space="preserve"> </w:t>
      </w:r>
      <w:r w:rsidR="001C2E72" w:rsidRPr="3A656B1C">
        <w:rPr>
          <w:sz w:val="22"/>
          <w:szCs w:val="22"/>
        </w:rPr>
        <w:t xml:space="preserve">better </w:t>
      </w:r>
      <w:r w:rsidR="00C10B48" w:rsidRPr="3A656B1C">
        <w:rPr>
          <w:sz w:val="22"/>
          <w:szCs w:val="22"/>
        </w:rPr>
        <w:t>model data fit</w:t>
      </w:r>
      <w:r w:rsidRPr="3A656B1C">
        <w:rPr>
          <w:sz w:val="22"/>
          <w:szCs w:val="22"/>
        </w:rPr>
        <w:t xml:space="preserve">), factor loadings, eigenvalues, as well as evidence of </w:t>
      </w:r>
      <w:proofErr w:type="spellStart"/>
      <w:r w:rsidRPr="3A656B1C">
        <w:rPr>
          <w:sz w:val="22"/>
          <w:szCs w:val="22"/>
        </w:rPr>
        <w:t>overfactoring</w:t>
      </w:r>
      <w:proofErr w:type="spellEnd"/>
      <w:r w:rsidRPr="3A656B1C">
        <w:rPr>
          <w:sz w:val="22"/>
          <w:szCs w:val="22"/>
        </w:rPr>
        <w:t xml:space="preserve"> for multi-factor solutions</w:t>
      </w:r>
      <w:r w:rsidR="00DC7444">
        <w:rPr>
          <w:rFonts w:ascii="ZWAdobeF" w:hAnsi="ZWAdobeF" w:cs="ZWAdobeF"/>
          <w:sz w:val="2"/>
          <w:szCs w:val="2"/>
        </w:rPr>
        <w:t>2F</w:t>
      </w:r>
      <w:r w:rsidR="006B7DA5" w:rsidRPr="3A656B1C">
        <w:rPr>
          <w:rStyle w:val="FootnoteReference"/>
          <w:sz w:val="22"/>
          <w:szCs w:val="22"/>
        </w:rPr>
        <w:footnoteReference w:id="4"/>
      </w:r>
      <w:r w:rsidRPr="3A656B1C">
        <w:rPr>
          <w:sz w:val="22"/>
          <w:szCs w:val="22"/>
        </w:rPr>
        <w:t xml:space="preserve">. </w:t>
      </w:r>
      <w:r w:rsidR="001804F7" w:rsidRPr="3A656B1C">
        <w:rPr>
          <w:sz w:val="22"/>
          <w:szCs w:val="22"/>
        </w:rPr>
        <w:t xml:space="preserve">The results </w:t>
      </w:r>
      <w:r w:rsidR="00363810" w:rsidRPr="3A656B1C">
        <w:rPr>
          <w:sz w:val="22"/>
          <w:szCs w:val="22"/>
        </w:rPr>
        <w:t xml:space="preserve">suggest that a 1-factor model most appropriately describes the grade 4 and grade </w:t>
      </w:r>
      <w:r w:rsidR="0008015D" w:rsidRPr="3A656B1C">
        <w:rPr>
          <w:sz w:val="22"/>
          <w:szCs w:val="22"/>
        </w:rPr>
        <w:t>12</w:t>
      </w:r>
      <w:r w:rsidR="00363810" w:rsidRPr="3A656B1C">
        <w:rPr>
          <w:sz w:val="22"/>
          <w:szCs w:val="22"/>
        </w:rPr>
        <w:t xml:space="preserve"> data. </w:t>
      </w:r>
      <w:r w:rsidR="00FF3920" w:rsidRPr="3A656B1C">
        <w:rPr>
          <w:sz w:val="22"/>
          <w:szCs w:val="22"/>
        </w:rPr>
        <w:t xml:space="preserve">At grade 8, </w:t>
      </w:r>
      <w:r w:rsidR="00791FA6" w:rsidRPr="3A656B1C">
        <w:rPr>
          <w:sz w:val="22"/>
          <w:szCs w:val="22"/>
        </w:rPr>
        <w:t>the BIC for the 1-factor model was 867,125</w:t>
      </w:r>
      <w:r w:rsidR="443EBAD4" w:rsidRPr="4C34B60F">
        <w:rPr>
          <w:sz w:val="22"/>
          <w:szCs w:val="22"/>
        </w:rPr>
        <w:t>.</w:t>
      </w:r>
      <w:r w:rsidR="00791FA6" w:rsidRPr="3A656B1C">
        <w:rPr>
          <w:sz w:val="22"/>
          <w:szCs w:val="22"/>
        </w:rPr>
        <w:t xml:space="preserve">  </w:t>
      </w:r>
      <w:r w:rsidR="380B29A6" w:rsidRPr="4C34B60F">
        <w:rPr>
          <w:sz w:val="22"/>
          <w:szCs w:val="22"/>
        </w:rPr>
        <w:t>F</w:t>
      </w:r>
      <w:r w:rsidR="029B3F40" w:rsidRPr="4C34B60F">
        <w:rPr>
          <w:sz w:val="22"/>
          <w:szCs w:val="22"/>
        </w:rPr>
        <w:t xml:space="preserve">or the 2-factor model, the BIC </w:t>
      </w:r>
      <w:r w:rsidR="00791FA6" w:rsidRPr="3A656B1C">
        <w:rPr>
          <w:sz w:val="22"/>
          <w:szCs w:val="22"/>
        </w:rPr>
        <w:t>was 866,479. W</w:t>
      </w:r>
      <w:r w:rsidR="007029C1" w:rsidRPr="3A656B1C">
        <w:rPr>
          <w:sz w:val="22"/>
          <w:szCs w:val="22"/>
        </w:rPr>
        <w:t xml:space="preserve">hile </w:t>
      </w:r>
      <w:r w:rsidR="00BC5799" w:rsidRPr="3A656B1C">
        <w:rPr>
          <w:sz w:val="22"/>
          <w:szCs w:val="22"/>
        </w:rPr>
        <w:t xml:space="preserve">the BIC fit statistics </w:t>
      </w:r>
      <w:r w:rsidR="00BD7225" w:rsidRPr="3A656B1C">
        <w:rPr>
          <w:sz w:val="22"/>
          <w:szCs w:val="22"/>
        </w:rPr>
        <w:t xml:space="preserve">indicate </w:t>
      </w:r>
      <w:r w:rsidR="00F5468E" w:rsidRPr="3A656B1C">
        <w:rPr>
          <w:sz w:val="22"/>
          <w:szCs w:val="22"/>
        </w:rPr>
        <w:t xml:space="preserve">that </w:t>
      </w:r>
      <w:r w:rsidR="00011A91" w:rsidRPr="3A656B1C">
        <w:rPr>
          <w:sz w:val="22"/>
          <w:szCs w:val="22"/>
        </w:rPr>
        <w:t xml:space="preserve">the </w:t>
      </w:r>
      <w:r w:rsidR="00F5468E" w:rsidRPr="3A656B1C">
        <w:rPr>
          <w:sz w:val="22"/>
          <w:szCs w:val="22"/>
        </w:rPr>
        <w:t>2-</w:t>
      </w:r>
      <w:r w:rsidR="00904F6A" w:rsidRPr="3A656B1C">
        <w:rPr>
          <w:sz w:val="22"/>
          <w:szCs w:val="22"/>
        </w:rPr>
        <w:t xml:space="preserve">factor model </w:t>
      </w:r>
      <w:r w:rsidR="00B62713" w:rsidRPr="3A656B1C">
        <w:rPr>
          <w:sz w:val="22"/>
          <w:szCs w:val="22"/>
        </w:rPr>
        <w:t>fit</w:t>
      </w:r>
      <w:r w:rsidR="00011A91" w:rsidRPr="3A656B1C">
        <w:rPr>
          <w:sz w:val="22"/>
          <w:szCs w:val="22"/>
        </w:rPr>
        <w:t>s</w:t>
      </w:r>
      <w:r w:rsidR="00B62713" w:rsidRPr="3A656B1C">
        <w:rPr>
          <w:sz w:val="22"/>
          <w:szCs w:val="22"/>
        </w:rPr>
        <w:t xml:space="preserve"> the </w:t>
      </w:r>
      <w:r w:rsidR="00807B41" w:rsidRPr="3A656B1C">
        <w:rPr>
          <w:sz w:val="22"/>
          <w:szCs w:val="22"/>
        </w:rPr>
        <w:t>data bet</w:t>
      </w:r>
      <w:r w:rsidR="006747D9" w:rsidRPr="3A656B1C">
        <w:rPr>
          <w:sz w:val="22"/>
          <w:szCs w:val="22"/>
        </w:rPr>
        <w:t xml:space="preserve">ter, </w:t>
      </w:r>
      <w:r w:rsidR="00E12D8B" w:rsidRPr="3A656B1C">
        <w:rPr>
          <w:sz w:val="22"/>
          <w:szCs w:val="22"/>
        </w:rPr>
        <w:t xml:space="preserve">a </w:t>
      </w:r>
      <w:r w:rsidR="007F642D" w:rsidRPr="3A656B1C">
        <w:rPr>
          <w:sz w:val="22"/>
          <w:szCs w:val="22"/>
        </w:rPr>
        <w:t>single</w:t>
      </w:r>
      <w:r w:rsidR="001B1CAA" w:rsidRPr="3A656B1C">
        <w:rPr>
          <w:sz w:val="22"/>
          <w:szCs w:val="22"/>
        </w:rPr>
        <w:t xml:space="preserve"> </w:t>
      </w:r>
      <w:r w:rsidR="00E12D8B" w:rsidRPr="3A656B1C">
        <w:rPr>
          <w:sz w:val="22"/>
          <w:szCs w:val="22"/>
        </w:rPr>
        <w:t>domina</w:t>
      </w:r>
      <w:r w:rsidR="001B1CAA" w:rsidRPr="3A656B1C">
        <w:rPr>
          <w:sz w:val="22"/>
          <w:szCs w:val="22"/>
        </w:rPr>
        <w:t>nt</w:t>
      </w:r>
      <w:r w:rsidR="00E12D8B" w:rsidRPr="3A656B1C">
        <w:rPr>
          <w:sz w:val="22"/>
          <w:szCs w:val="22"/>
        </w:rPr>
        <w:t xml:space="preserve"> </w:t>
      </w:r>
      <w:r w:rsidR="003305C7" w:rsidRPr="3A656B1C">
        <w:rPr>
          <w:sz w:val="22"/>
          <w:szCs w:val="22"/>
        </w:rPr>
        <w:t xml:space="preserve">factor </w:t>
      </w:r>
      <w:r w:rsidR="000031B8" w:rsidRPr="3A656B1C">
        <w:rPr>
          <w:sz w:val="22"/>
          <w:szCs w:val="22"/>
        </w:rPr>
        <w:t xml:space="preserve">is observed </w:t>
      </w:r>
      <w:r w:rsidR="003305C7" w:rsidRPr="3A656B1C">
        <w:rPr>
          <w:sz w:val="22"/>
          <w:szCs w:val="22"/>
        </w:rPr>
        <w:t xml:space="preserve">in the </w:t>
      </w:r>
      <w:r w:rsidR="001B1CAA" w:rsidRPr="3A656B1C">
        <w:rPr>
          <w:sz w:val="22"/>
          <w:szCs w:val="22"/>
        </w:rPr>
        <w:t>scree plot of ordered eigenvalues in Figure 1.</w:t>
      </w:r>
      <w:r w:rsidR="00E12D8B" w:rsidRPr="3A656B1C">
        <w:rPr>
          <w:sz w:val="22"/>
          <w:szCs w:val="22"/>
        </w:rPr>
        <w:t xml:space="preserve"> </w:t>
      </w:r>
      <w:r w:rsidR="00716100" w:rsidRPr="3A656B1C">
        <w:rPr>
          <w:sz w:val="22"/>
          <w:szCs w:val="22"/>
        </w:rPr>
        <w:t xml:space="preserve">Additionally, </w:t>
      </w:r>
      <w:r w:rsidR="00676871" w:rsidRPr="3A656B1C">
        <w:rPr>
          <w:sz w:val="22"/>
          <w:szCs w:val="22"/>
        </w:rPr>
        <w:t xml:space="preserve">the </w:t>
      </w:r>
      <w:r w:rsidR="003C722F" w:rsidRPr="3A656B1C">
        <w:rPr>
          <w:sz w:val="22"/>
          <w:szCs w:val="22"/>
        </w:rPr>
        <w:t xml:space="preserve">factor loadings </w:t>
      </w:r>
      <w:r w:rsidR="0055436D" w:rsidRPr="3A656B1C">
        <w:rPr>
          <w:sz w:val="22"/>
          <w:szCs w:val="22"/>
        </w:rPr>
        <w:t>from the 2-factor solution</w:t>
      </w:r>
      <w:r w:rsidR="00803CE3" w:rsidRPr="3A656B1C">
        <w:rPr>
          <w:sz w:val="22"/>
          <w:szCs w:val="22"/>
        </w:rPr>
        <w:t xml:space="preserve"> </w:t>
      </w:r>
      <w:r w:rsidR="006E0103" w:rsidRPr="3A656B1C">
        <w:rPr>
          <w:sz w:val="22"/>
          <w:szCs w:val="22"/>
        </w:rPr>
        <w:t xml:space="preserve">do not indicate </w:t>
      </w:r>
      <w:r w:rsidR="00285C07" w:rsidRPr="3A656B1C">
        <w:rPr>
          <w:sz w:val="22"/>
          <w:szCs w:val="22"/>
        </w:rPr>
        <w:t>a meaningful</w:t>
      </w:r>
      <w:r w:rsidR="0003569A" w:rsidRPr="3A656B1C">
        <w:rPr>
          <w:sz w:val="22"/>
          <w:szCs w:val="22"/>
        </w:rPr>
        <w:t xml:space="preserve"> pattern that shows that SBT items are dimensionally different </w:t>
      </w:r>
      <w:r w:rsidR="00C72318" w:rsidRPr="3A656B1C">
        <w:rPr>
          <w:sz w:val="22"/>
          <w:szCs w:val="22"/>
        </w:rPr>
        <w:t xml:space="preserve">from </w:t>
      </w:r>
      <w:r w:rsidR="007169DA" w:rsidRPr="3A656B1C">
        <w:rPr>
          <w:sz w:val="22"/>
          <w:szCs w:val="22"/>
        </w:rPr>
        <w:t>DI items.</w:t>
      </w:r>
      <w:r w:rsidR="00722A4A" w:rsidRPr="3A656B1C">
        <w:rPr>
          <w:sz w:val="22"/>
          <w:szCs w:val="22"/>
        </w:rPr>
        <w:t xml:space="preserve"> </w:t>
      </w:r>
      <w:r w:rsidR="00081FD0" w:rsidRPr="3A656B1C">
        <w:rPr>
          <w:sz w:val="22"/>
          <w:szCs w:val="22"/>
        </w:rPr>
        <w:t xml:space="preserve">The factor loadings from the 2-factor solution </w:t>
      </w:r>
      <w:r w:rsidR="00DF3CA6" w:rsidRPr="3A656B1C">
        <w:rPr>
          <w:sz w:val="22"/>
          <w:szCs w:val="22"/>
        </w:rPr>
        <w:t xml:space="preserve">for grade 8 </w:t>
      </w:r>
      <w:r w:rsidR="00AE7E9A">
        <w:rPr>
          <w:sz w:val="22"/>
          <w:szCs w:val="22"/>
        </w:rPr>
        <w:t xml:space="preserve">are shown </w:t>
      </w:r>
      <w:r w:rsidR="00081FD0" w:rsidRPr="3A656B1C">
        <w:rPr>
          <w:sz w:val="22"/>
          <w:szCs w:val="22"/>
        </w:rPr>
        <w:t>in the Appendix.</w:t>
      </w:r>
      <w:r w:rsidR="006A6962" w:rsidRPr="3A656B1C">
        <w:rPr>
          <w:sz w:val="22"/>
          <w:szCs w:val="22"/>
        </w:rPr>
        <w:t xml:space="preserve"> </w:t>
      </w:r>
    </w:p>
    <w:p w14:paraId="1C587868" w14:textId="611CBF97" w:rsidR="00E15810" w:rsidRPr="00374975" w:rsidRDefault="00E15810" w:rsidP="009B25EB">
      <w:pPr>
        <w:spacing w:after="160"/>
        <w:rPr>
          <w:sz w:val="22"/>
          <w:szCs w:val="22"/>
        </w:rPr>
      </w:pPr>
      <w:r w:rsidRPr="0070150B">
        <w:rPr>
          <w:sz w:val="22"/>
          <w:szCs w:val="22"/>
        </w:rPr>
        <w:t>Figure 1.</w:t>
      </w:r>
      <w:r w:rsidRPr="3A656B1C">
        <w:rPr>
          <w:sz w:val="22"/>
          <w:szCs w:val="22"/>
        </w:rPr>
        <w:t xml:space="preserve"> Scree plot of eigenvalues: Grade 8</w:t>
      </w:r>
    </w:p>
    <w:p w14:paraId="699E9AE9" w14:textId="2A450FEE" w:rsidR="003E023E" w:rsidRDefault="005C3C94" w:rsidP="0058290D">
      <w:pPr>
        <w:rPr>
          <w:rFonts w:ascii="Garamond" w:hAnsi="Garamond"/>
          <w:sz w:val="23"/>
          <w:szCs w:val="23"/>
        </w:rPr>
      </w:pPr>
      <w:r>
        <w:rPr>
          <w:noProof/>
        </w:rPr>
        <w:drawing>
          <wp:inline distT="0" distB="0" distL="0" distR="0" wp14:anchorId="3680F6DA" wp14:editId="24A05B01">
            <wp:extent cx="5539740" cy="1958340"/>
            <wp:effectExtent l="0" t="0" r="3810" b="381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471700BB-F490-46CD-ACDA-1635D5D480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3D547A8" w14:textId="77777777" w:rsidR="003E023E" w:rsidRPr="006F60DB" w:rsidRDefault="003E023E" w:rsidP="0058290D">
      <w:pPr>
        <w:rPr>
          <w:rFonts w:ascii="Garamond" w:hAnsi="Garamond"/>
          <w:sz w:val="23"/>
          <w:szCs w:val="23"/>
        </w:rPr>
      </w:pPr>
    </w:p>
    <w:p w14:paraId="74D3055B" w14:textId="2EC3D67E" w:rsidR="00682870" w:rsidRPr="001012B3" w:rsidRDefault="00682870" w:rsidP="00682870">
      <w:pPr>
        <w:rPr>
          <w:sz w:val="22"/>
          <w:szCs w:val="22"/>
        </w:rPr>
      </w:pPr>
      <w:r w:rsidRPr="3A656B1C">
        <w:rPr>
          <w:sz w:val="22"/>
          <w:szCs w:val="22"/>
        </w:rPr>
        <w:t xml:space="preserve">Out of concern that the EFA results were potentially dominated by the </w:t>
      </w:r>
      <w:r w:rsidR="00F8787F" w:rsidRPr="3A656B1C">
        <w:rPr>
          <w:sz w:val="22"/>
          <w:szCs w:val="22"/>
        </w:rPr>
        <w:t xml:space="preserve">subset </w:t>
      </w:r>
      <w:r w:rsidRPr="3A656B1C">
        <w:rPr>
          <w:sz w:val="22"/>
          <w:szCs w:val="22"/>
        </w:rPr>
        <w:t>of students taking DI</w:t>
      </w:r>
      <w:r w:rsidR="004D04B7" w:rsidRPr="3A656B1C">
        <w:rPr>
          <w:sz w:val="22"/>
          <w:szCs w:val="22"/>
        </w:rPr>
        <w:t xml:space="preserve"> form</w:t>
      </w:r>
      <w:r w:rsidRPr="3A656B1C">
        <w:rPr>
          <w:sz w:val="22"/>
          <w:szCs w:val="22"/>
        </w:rPr>
        <w:t xml:space="preserve">s, </w:t>
      </w:r>
      <w:r w:rsidR="004D04B7" w:rsidRPr="3A656B1C">
        <w:rPr>
          <w:sz w:val="22"/>
          <w:szCs w:val="22"/>
        </w:rPr>
        <w:t xml:space="preserve">additional </w:t>
      </w:r>
      <w:r w:rsidRPr="3A656B1C">
        <w:rPr>
          <w:sz w:val="22"/>
          <w:szCs w:val="22"/>
        </w:rPr>
        <w:t xml:space="preserve">EFA analyses were </w:t>
      </w:r>
      <w:r w:rsidR="004D04B7" w:rsidRPr="3A656B1C">
        <w:rPr>
          <w:sz w:val="22"/>
          <w:szCs w:val="22"/>
        </w:rPr>
        <w:t xml:space="preserve">conducted </w:t>
      </w:r>
      <w:r w:rsidRPr="3A656B1C">
        <w:rPr>
          <w:sz w:val="22"/>
          <w:szCs w:val="22"/>
        </w:rPr>
        <w:t xml:space="preserve">on the subset of students who took mixed forms (i.e., forms assembled with one discrete and one SBT block). </w:t>
      </w:r>
      <w:r w:rsidR="00DD2CD3" w:rsidRPr="3A656B1C">
        <w:rPr>
          <w:sz w:val="22"/>
          <w:szCs w:val="22"/>
        </w:rPr>
        <w:t xml:space="preserve">The conclusion based </w:t>
      </w:r>
      <w:r w:rsidR="00112924" w:rsidRPr="3A656B1C">
        <w:rPr>
          <w:sz w:val="22"/>
          <w:szCs w:val="22"/>
        </w:rPr>
        <w:t xml:space="preserve">on </w:t>
      </w:r>
      <w:r w:rsidR="00D30377" w:rsidRPr="3A656B1C">
        <w:rPr>
          <w:sz w:val="22"/>
          <w:szCs w:val="22"/>
        </w:rPr>
        <w:t>th</w:t>
      </w:r>
      <w:r w:rsidR="00272D80">
        <w:rPr>
          <w:sz w:val="22"/>
          <w:szCs w:val="22"/>
        </w:rPr>
        <w:t>e</w:t>
      </w:r>
      <w:r w:rsidR="00D30377" w:rsidRPr="3A656B1C">
        <w:rPr>
          <w:sz w:val="22"/>
          <w:szCs w:val="22"/>
        </w:rPr>
        <w:t>s</w:t>
      </w:r>
      <w:r w:rsidR="00272D80">
        <w:rPr>
          <w:sz w:val="22"/>
          <w:szCs w:val="22"/>
        </w:rPr>
        <w:t>e</w:t>
      </w:r>
      <w:r w:rsidR="00D30377" w:rsidRPr="3A656B1C">
        <w:rPr>
          <w:sz w:val="22"/>
          <w:szCs w:val="22"/>
        </w:rPr>
        <w:t xml:space="preserve"> analys</w:t>
      </w:r>
      <w:r w:rsidR="00272D80">
        <w:rPr>
          <w:sz w:val="22"/>
          <w:szCs w:val="22"/>
        </w:rPr>
        <w:t>e</w:t>
      </w:r>
      <w:r w:rsidR="00D30377" w:rsidRPr="3A656B1C">
        <w:rPr>
          <w:sz w:val="22"/>
          <w:szCs w:val="22"/>
        </w:rPr>
        <w:t>s</w:t>
      </w:r>
      <w:r w:rsidR="001B343C" w:rsidRPr="3A656B1C">
        <w:rPr>
          <w:sz w:val="22"/>
          <w:szCs w:val="22"/>
        </w:rPr>
        <w:t xml:space="preserve"> </w:t>
      </w:r>
      <w:r w:rsidR="004D04B7" w:rsidRPr="3A656B1C">
        <w:rPr>
          <w:sz w:val="22"/>
          <w:szCs w:val="22"/>
        </w:rPr>
        <w:t>wa</w:t>
      </w:r>
      <w:r w:rsidR="001B343C" w:rsidRPr="3A656B1C">
        <w:rPr>
          <w:sz w:val="22"/>
          <w:szCs w:val="22"/>
        </w:rPr>
        <w:t xml:space="preserve">s consistent with the findings from the EFAs </w:t>
      </w:r>
      <w:r w:rsidR="00BC2B4E" w:rsidRPr="3A656B1C">
        <w:rPr>
          <w:sz w:val="22"/>
          <w:szCs w:val="22"/>
        </w:rPr>
        <w:t>based on the full DBA sample of students</w:t>
      </w:r>
      <w:r w:rsidR="3A27177B" w:rsidRPr="3A656B1C">
        <w:rPr>
          <w:sz w:val="22"/>
          <w:szCs w:val="22"/>
        </w:rPr>
        <w:t>—</w:t>
      </w:r>
      <w:r w:rsidR="00BC2B4E" w:rsidRPr="3A656B1C">
        <w:rPr>
          <w:sz w:val="22"/>
          <w:szCs w:val="22"/>
        </w:rPr>
        <w:t xml:space="preserve">that a 1-factor model </w:t>
      </w:r>
      <w:r w:rsidR="00B90826" w:rsidRPr="3A656B1C">
        <w:rPr>
          <w:sz w:val="22"/>
          <w:szCs w:val="22"/>
        </w:rPr>
        <w:t>most appropriately describes</w:t>
      </w:r>
      <w:r w:rsidR="00B90826" w:rsidRPr="3A656B1C">
        <w:rPr>
          <w:rFonts w:ascii="Garamond" w:hAnsi="Garamond"/>
          <w:sz w:val="22"/>
          <w:szCs w:val="22"/>
        </w:rPr>
        <w:t xml:space="preserve"> </w:t>
      </w:r>
      <w:r w:rsidR="00B90826" w:rsidRPr="3A656B1C">
        <w:rPr>
          <w:sz w:val="22"/>
          <w:szCs w:val="22"/>
        </w:rPr>
        <w:lastRenderedPageBreak/>
        <w:t>the data at grades 4 and 12</w:t>
      </w:r>
      <w:r w:rsidR="00FD0C97" w:rsidRPr="3A656B1C">
        <w:rPr>
          <w:sz w:val="22"/>
          <w:szCs w:val="22"/>
        </w:rPr>
        <w:t>.</w:t>
      </w:r>
      <w:r w:rsidR="004D04B7" w:rsidRPr="3A656B1C">
        <w:rPr>
          <w:sz w:val="22"/>
          <w:szCs w:val="22"/>
        </w:rPr>
        <w:t xml:space="preserve"> At grade 8, </w:t>
      </w:r>
      <w:r w:rsidR="005609D3" w:rsidRPr="3A656B1C">
        <w:rPr>
          <w:sz w:val="22"/>
          <w:szCs w:val="22"/>
        </w:rPr>
        <w:t xml:space="preserve">despite better fit statistics of the </w:t>
      </w:r>
      <w:r w:rsidR="00014242" w:rsidRPr="3A656B1C">
        <w:rPr>
          <w:sz w:val="22"/>
          <w:szCs w:val="22"/>
        </w:rPr>
        <w:t xml:space="preserve">2-factor model, </w:t>
      </w:r>
      <w:r w:rsidR="00AD0777" w:rsidRPr="3A656B1C">
        <w:rPr>
          <w:sz w:val="22"/>
          <w:szCs w:val="22"/>
        </w:rPr>
        <w:t>the patter</w:t>
      </w:r>
      <w:r w:rsidR="004D04B7" w:rsidRPr="3A656B1C">
        <w:rPr>
          <w:sz w:val="22"/>
          <w:szCs w:val="22"/>
        </w:rPr>
        <w:t>n</w:t>
      </w:r>
      <w:r w:rsidR="00AD0777" w:rsidRPr="3A656B1C">
        <w:rPr>
          <w:sz w:val="22"/>
          <w:szCs w:val="22"/>
        </w:rPr>
        <w:t xml:space="preserve"> of factor loadings </w:t>
      </w:r>
      <w:r w:rsidR="0AF75B95" w:rsidRPr="3A656B1C">
        <w:rPr>
          <w:sz w:val="22"/>
          <w:szCs w:val="22"/>
        </w:rPr>
        <w:t>does</w:t>
      </w:r>
      <w:r w:rsidR="00B10AA1" w:rsidRPr="3A656B1C">
        <w:rPr>
          <w:sz w:val="22"/>
          <w:szCs w:val="22"/>
        </w:rPr>
        <w:t xml:space="preserve"> not meaningfully </w:t>
      </w:r>
      <w:r w:rsidR="00947C5D" w:rsidRPr="3A656B1C">
        <w:rPr>
          <w:sz w:val="22"/>
          <w:szCs w:val="22"/>
        </w:rPr>
        <w:t>indicate separate factors for SBT and DI.</w:t>
      </w:r>
      <w:r w:rsidRPr="3A656B1C">
        <w:rPr>
          <w:sz w:val="22"/>
          <w:szCs w:val="22"/>
        </w:rPr>
        <w:t xml:space="preserve"> </w:t>
      </w:r>
    </w:p>
    <w:p w14:paraId="5E817263" w14:textId="77777777" w:rsidR="00682870" w:rsidRPr="00605BE7" w:rsidRDefault="00682870" w:rsidP="00682870">
      <w:pPr>
        <w:rPr>
          <w:rFonts w:asciiTheme="majorHAnsi" w:hAnsiTheme="majorHAnsi" w:cstheme="majorHAnsi"/>
          <w:b/>
          <w:color w:val="1F3762"/>
          <w:sz w:val="24"/>
          <w:szCs w:val="23"/>
        </w:rPr>
      </w:pPr>
      <w:r w:rsidRPr="00605BE7">
        <w:rPr>
          <w:rFonts w:asciiTheme="majorHAnsi" w:hAnsiTheme="majorHAnsi" w:cstheme="majorHAnsi"/>
          <w:b/>
          <w:color w:val="1F3762"/>
          <w:sz w:val="24"/>
          <w:szCs w:val="23"/>
        </w:rPr>
        <w:t>Confirmatory Analysis</w:t>
      </w:r>
    </w:p>
    <w:p w14:paraId="270E2366" w14:textId="6671A949" w:rsidR="00682870" w:rsidRPr="00374975" w:rsidRDefault="00682870" w:rsidP="3A656B1C">
      <w:pPr>
        <w:rPr>
          <w:sz w:val="22"/>
          <w:szCs w:val="22"/>
        </w:rPr>
      </w:pPr>
      <w:r w:rsidRPr="3A656B1C">
        <w:rPr>
          <w:sz w:val="22"/>
          <w:szCs w:val="22"/>
        </w:rPr>
        <w:t>To further evaluate if unidimensional models are sufficient in modeling the DBA data with SBT integrated, two types of confirmatory analyses were conducted</w:t>
      </w:r>
      <w:r w:rsidR="609FE411" w:rsidRPr="3A656B1C">
        <w:rPr>
          <w:sz w:val="22"/>
          <w:szCs w:val="22"/>
        </w:rPr>
        <w:t xml:space="preserve">: </w:t>
      </w:r>
      <w:r w:rsidRPr="3A656B1C">
        <w:rPr>
          <w:sz w:val="22"/>
          <w:szCs w:val="22"/>
        </w:rPr>
        <w:t xml:space="preserve">multidimensional </w:t>
      </w:r>
      <w:r w:rsidR="001C589E" w:rsidRPr="3A656B1C">
        <w:rPr>
          <w:sz w:val="22"/>
          <w:szCs w:val="22"/>
        </w:rPr>
        <w:t>item response theory (</w:t>
      </w:r>
      <w:r w:rsidR="00E65605" w:rsidRPr="3A656B1C">
        <w:rPr>
          <w:sz w:val="22"/>
          <w:szCs w:val="22"/>
        </w:rPr>
        <w:t>M</w:t>
      </w:r>
      <w:r w:rsidRPr="3A656B1C">
        <w:rPr>
          <w:sz w:val="22"/>
          <w:szCs w:val="22"/>
        </w:rPr>
        <w:t>IRT</w:t>
      </w:r>
      <w:r w:rsidR="001C589E" w:rsidRPr="3A656B1C">
        <w:rPr>
          <w:sz w:val="22"/>
          <w:szCs w:val="22"/>
        </w:rPr>
        <w:t>)</w:t>
      </w:r>
      <w:r w:rsidRPr="3A656B1C">
        <w:rPr>
          <w:sz w:val="22"/>
          <w:szCs w:val="22"/>
        </w:rPr>
        <w:t xml:space="preserve"> model and bifactor model. </w:t>
      </w:r>
    </w:p>
    <w:p w14:paraId="6470B4F4" w14:textId="31670DD1" w:rsidR="00682870" w:rsidRPr="00374975" w:rsidRDefault="004D04B7" w:rsidP="3A656B1C">
      <w:pPr>
        <w:rPr>
          <w:sz w:val="22"/>
          <w:szCs w:val="22"/>
        </w:rPr>
      </w:pPr>
      <w:r w:rsidRPr="3A656B1C">
        <w:rPr>
          <w:sz w:val="22"/>
          <w:szCs w:val="22"/>
        </w:rPr>
        <w:t xml:space="preserve">Using </w:t>
      </w:r>
      <w:r w:rsidR="00682870" w:rsidRPr="3A656B1C">
        <w:rPr>
          <w:sz w:val="22"/>
          <w:szCs w:val="22"/>
        </w:rPr>
        <w:t xml:space="preserve">the full DBA sample, a </w:t>
      </w:r>
      <w:r w:rsidR="00CE4D14" w:rsidRPr="3A656B1C">
        <w:rPr>
          <w:sz w:val="22"/>
          <w:szCs w:val="22"/>
        </w:rPr>
        <w:t xml:space="preserve">confirmatory, </w:t>
      </w:r>
      <w:r w:rsidR="00E65605" w:rsidRPr="3A656B1C">
        <w:rPr>
          <w:sz w:val="22"/>
          <w:szCs w:val="22"/>
        </w:rPr>
        <w:t>two</w:t>
      </w:r>
      <w:r w:rsidR="00682870" w:rsidRPr="3A656B1C">
        <w:rPr>
          <w:sz w:val="22"/>
          <w:szCs w:val="22"/>
        </w:rPr>
        <w:t>-</w:t>
      </w:r>
      <w:r w:rsidR="00573B4C" w:rsidRPr="3A656B1C">
        <w:rPr>
          <w:sz w:val="22"/>
          <w:szCs w:val="22"/>
        </w:rPr>
        <w:t xml:space="preserve">factor </w:t>
      </w:r>
      <w:r w:rsidR="00682870" w:rsidRPr="3A656B1C">
        <w:rPr>
          <w:sz w:val="22"/>
          <w:szCs w:val="22"/>
        </w:rPr>
        <w:t xml:space="preserve">simple structure MIRT model was </w:t>
      </w:r>
      <w:r w:rsidR="00CE4D14" w:rsidRPr="3A656B1C">
        <w:rPr>
          <w:sz w:val="22"/>
          <w:szCs w:val="22"/>
        </w:rPr>
        <w:t>us</w:t>
      </w:r>
      <w:r w:rsidR="00682870" w:rsidRPr="3A656B1C">
        <w:rPr>
          <w:sz w:val="22"/>
          <w:szCs w:val="22"/>
        </w:rPr>
        <w:t>ed to examine whether the DI and SBT items show evidence of distinct dimensionality. In th</w:t>
      </w:r>
      <w:r w:rsidR="00CE4D14" w:rsidRPr="3A656B1C">
        <w:rPr>
          <w:sz w:val="22"/>
          <w:szCs w:val="22"/>
        </w:rPr>
        <w:t>is</w:t>
      </w:r>
      <w:r w:rsidR="00682870" w:rsidRPr="3A656B1C">
        <w:rPr>
          <w:sz w:val="22"/>
          <w:szCs w:val="22"/>
        </w:rPr>
        <w:t xml:space="preserve"> MIRT model, one dimension represented a DI latent </w:t>
      </w:r>
      <w:r w:rsidR="68340470" w:rsidRPr="3A656B1C">
        <w:rPr>
          <w:sz w:val="22"/>
          <w:szCs w:val="22"/>
        </w:rPr>
        <w:t>factor,</w:t>
      </w:r>
      <w:r w:rsidR="00682870" w:rsidRPr="3A656B1C">
        <w:rPr>
          <w:sz w:val="22"/>
          <w:szCs w:val="22"/>
        </w:rPr>
        <w:t xml:space="preserve"> and the other dimension represented a correlated SBT latent factor. The estimated </w:t>
      </w:r>
      <w:proofErr w:type="spellStart"/>
      <w:r w:rsidR="00682870" w:rsidRPr="3A656B1C">
        <w:rPr>
          <w:sz w:val="22"/>
          <w:szCs w:val="22"/>
        </w:rPr>
        <w:t>disattenuated</w:t>
      </w:r>
      <w:proofErr w:type="spellEnd"/>
      <w:r w:rsidR="00682870" w:rsidRPr="3A656B1C">
        <w:rPr>
          <w:sz w:val="22"/>
          <w:szCs w:val="22"/>
        </w:rPr>
        <w:t xml:space="preserve"> correlations</w:t>
      </w:r>
      <w:r w:rsidR="00CE4D14" w:rsidRPr="3A656B1C">
        <w:rPr>
          <w:sz w:val="22"/>
          <w:szCs w:val="22"/>
        </w:rPr>
        <w:t xml:space="preserve"> between DI and SBT dimensions were</w:t>
      </w:r>
      <w:r w:rsidR="00682870" w:rsidRPr="3A656B1C">
        <w:rPr>
          <w:sz w:val="22"/>
          <w:szCs w:val="22"/>
        </w:rPr>
        <w:t xml:space="preserve"> .88 at grade 4, .82 at grade 8, and .93 at grade 12, suggestive of a single common underlying factor. </w:t>
      </w:r>
    </w:p>
    <w:p w14:paraId="52DAD79F" w14:textId="628BCF1C" w:rsidR="00682870" w:rsidRPr="00374975" w:rsidRDefault="007C0712" w:rsidP="00682870">
      <w:pPr>
        <w:rPr>
          <w:rFonts w:cstheme="minorHAnsi"/>
          <w:sz w:val="22"/>
          <w:szCs w:val="23"/>
        </w:rPr>
      </w:pPr>
      <w:r w:rsidRPr="4C34B60F">
        <w:rPr>
          <w:sz w:val="22"/>
          <w:szCs w:val="22"/>
        </w:rPr>
        <w:t xml:space="preserve">For SBTs, </w:t>
      </w:r>
      <w:r w:rsidR="00DC2293" w:rsidRPr="4C34B60F">
        <w:rPr>
          <w:sz w:val="22"/>
          <w:szCs w:val="22"/>
        </w:rPr>
        <w:t xml:space="preserve">because the items </w:t>
      </w:r>
      <w:r w:rsidR="008A6BA5" w:rsidRPr="4C34B60F">
        <w:rPr>
          <w:sz w:val="22"/>
          <w:szCs w:val="22"/>
        </w:rPr>
        <w:t>within task</w:t>
      </w:r>
      <w:r w:rsidR="00CC3799" w:rsidRPr="4C34B60F">
        <w:rPr>
          <w:sz w:val="22"/>
          <w:szCs w:val="22"/>
        </w:rPr>
        <w:t>s</w:t>
      </w:r>
      <w:r w:rsidR="008A6BA5" w:rsidRPr="4C34B60F">
        <w:rPr>
          <w:sz w:val="22"/>
          <w:szCs w:val="22"/>
        </w:rPr>
        <w:t xml:space="preserve"> </w:t>
      </w:r>
      <w:r w:rsidR="00DC2293" w:rsidRPr="4C34B60F">
        <w:rPr>
          <w:sz w:val="22"/>
          <w:szCs w:val="22"/>
        </w:rPr>
        <w:t>share a common scenario,</w:t>
      </w:r>
      <w:r w:rsidR="00CC3799" w:rsidRPr="4C34B60F">
        <w:rPr>
          <w:sz w:val="22"/>
          <w:szCs w:val="22"/>
        </w:rPr>
        <w:t xml:space="preserve"> </w:t>
      </w:r>
      <w:r w:rsidR="00DC2293" w:rsidRPr="4C34B60F">
        <w:rPr>
          <w:sz w:val="22"/>
          <w:szCs w:val="22"/>
        </w:rPr>
        <w:t xml:space="preserve">responses </w:t>
      </w:r>
      <w:r w:rsidR="00D00877" w:rsidRPr="4C34B60F">
        <w:rPr>
          <w:sz w:val="22"/>
          <w:szCs w:val="22"/>
        </w:rPr>
        <w:t xml:space="preserve">to items within SBTs </w:t>
      </w:r>
      <w:r w:rsidR="00DC2293" w:rsidRPr="4C34B60F">
        <w:rPr>
          <w:sz w:val="22"/>
          <w:szCs w:val="22"/>
        </w:rPr>
        <w:t xml:space="preserve">may be more similar than they would be for discrete items. Unidimensional models ignore this potential clustering of items within SBTs, which may result in violation </w:t>
      </w:r>
      <w:r w:rsidR="00651FC0" w:rsidRPr="4C34B60F">
        <w:rPr>
          <w:sz w:val="22"/>
          <w:szCs w:val="22"/>
        </w:rPr>
        <w:t>of</w:t>
      </w:r>
      <w:r w:rsidR="00DC2293" w:rsidRPr="4C34B60F">
        <w:rPr>
          <w:sz w:val="22"/>
          <w:szCs w:val="22"/>
        </w:rPr>
        <w:t xml:space="preserve"> the IRT assumptions of item local independence (Lord, 1980). The bifactor models</w:t>
      </w:r>
      <w:r w:rsidR="0006570C" w:rsidRPr="4C34B60F">
        <w:rPr>
          <w:sz w:val="22"/>
          <w:szCs w:val="22"/>
        </w:rPr>
        <w:t xml:space="preserve"> can be </w:t>
      </w:r>
      <w:r w:rsidR="009878E2" w:rsidRPr="4C34B60F">
        <w:rPr>
          <w:sz w:val="22"/>
          <w:szCs w:val="22"/>
        </w:rPr>
        <w:t xml:space="preserve">considered to </w:t>
      </w:r>
      <w:r w:rsidR="004E5AB8" w:rsidRPr="4C34B60F">
        <w:rPr>
          <w:sz w:val="22"/>
          <w:szCs w:val="22"/>
        </w:rPr>
        <w:t xml:space="preserve">test the </w:t>
      </w:r>
      <w:r w:rsidR="00997CDD" w:rsidRPr="4C34B60F">
        <w:rPr>
          <w:sz w:val="22"/>
          <w:szCs w:val="22"/>
        </w:rPr>
        <w:t xml:space="preserve">assumption of </w:t>
      </w:r>
      <w:r w:rsidR="00307766" w:rsidRPr="4C34B60F">
        <w:rPr>
          <w:sz w:val="22"/>
          <w:szCs w:val="22"/>
        </w:rPr>
        <w:t xml:space="preserve">item local </w:t>
      </w:r>
      <w:r w:rsidR="00527E0C" w:rsidRPr="4C34B60F">
        <w:rPr>
          <w:sz w:val="22"/>
          <w:szCs w:val="22"/>
        </w:rPr>
        <w:t xml:space="preserve">independence </w:t>
      </w:r>
      <w:r w:rsidR="00E06552" w:rsidRPr="4C34B60F">
        <w:rPr>
          <w:sz w:val="22"/>
          <w:szCs w:val="22"/>
        </w:rPr>
        <w:t>as they</w:t>
      </w:r>
      <w:r w:rsidR="00DC2293" w:rsidRPr="4C34B60F">
        <w:rPr>
          <w:sz w:val="22"/>
          <w:szCs w:val="22"/>
        </w:rPr>
        <w:t xml:space="preserve"> explicitly account for these potential testlet effects (Wainer &amp; Kiely, 1987) associated with SBTs. </w:t>
      </w:r>
      <w:r w:rsidR="00E06552" w:rsidRPr="4C34B60F">
        <w:rPr>
          <w:sz w:val="22"/>
          <w:szCs w:val="22"/>
        </w:rPr>
        <w:t>In this study</w:t>
      </w:r>
      <w:r w:rsidR="00682870" w:rsidRPr="4C34B60F" w:rsidDel="00E06552">
        <w:rPr>
          <w:sz w:val="22"/>
          <w:szCs w:val="22"/>
        </w:rPr>
        <w:t xml:space="preserve">, </w:t>
      </w:r>
      <w:r w:rsidR="00682870" w:rsidRPr="4C34B60F">
        <w:rPr>
          <w:sz w:val="22"/>
          <w:szCs w:val="22"/>
        </w:rPr>
        <w:t xml:space="preserve">bifactor models </w:t>
      </w:r>
      <w:r w:rsidR="00CE4D14" w:rsidRPr="4C34B60F">
        <w:rPr>
          <w:sz w:val="22"/>
          <w:szCs w:val="22"/>
        </w:rPr>
        <w:t xml:space="preserve">(again </w:t>
      </w:r>
      <w:r w:rsidR="00682870" w:rsidRPr="4C34B60F">
        <w:rPr>
          <w:sz w:val="22"/>
          <w:szCs w:val="22"/>
        </w:rPr>
        <w:t>using the full DBA sample</w:t>
      </w:r>
      <w:r w:rsidR="00CE4D14" w:rsidRPr="4C34B60F">
        <w:rPr>
          <w:sz w:val="22"/>
          <w:szCs w:val="22"/>
        </w:rPr>
        <w:t>)</w:t>
      </w:r>
      <w:r w:rsidR="00682870" w:rsidRPr="4C34B60F">
        <w:rPr>
          <w:sz w:val="22"/>
          <w:szCs w:val="22"/>
        </w:rPr>
        <w:t xml:space="preserve"> were conducted and compared to unidimensional models. At each grade, the bifactor models</w:t>
      </w:r>
      <w:r w:rsidR="00682870" w:rsidRPr="4C34B60F" w:rsidDel="00D70C7F">
        <w:rPr>
          <w:sz w:val="22"/>
          <w:szCs w:val="22"/>
        </w:rPr>
        <w:t xml:space="preserve"> </w:t>
      </w:r>
      <w:r w:rsidR="00682870" w:rsidRPr="4C34B60F">
        <w:rPr>
          <w:sz w:val="22"/>
          <w:szCs w:val="22"/>
        </w:rPr>
        <w:t xml:space="preserve">specified </w:t>
      </w:r>
      <w:r w:rsidR="007279F8" w:rsidRPr="4C34B60F">
        <w:rPr>
          <w:sz w:val="22"/>
          <w:szCs w:val="22"/>
        </w:rPr>
        <w:t>one</w:t>
      </w:r>
      <w:r w:rsidR="00682870" w:rsidRPr="4C34B60F">
        <w:rPr>
          <w:sz w:val="22"/>
          <w:szCs w:val="22"/>
        </w:rPr>
        <w:t xml:space="preserve"> general </w:t>
      </w:r>
      <w:r w:rsidR="00D70C7F" w:rsidRPr="4C34B60F">
        <w:rPr>
          <w:sz w:val="22"/>
          <w:szCs w:val="22"/>
        </w:rPr>
        <w:t xml:space="preserve">“science” </w:t>
      </w:r>
      <w:r w:rsidR="00682870" w:rsidRPr="4C34B60F">
        <w:rPr>
          <w:sz w:val="22"/>
          <w:szCs w:val="22"/>
        </w:rPr>
        <w:t xml:space="preserve">factor </w:t>
      </w:r>
      <w:r w:rsidR="00D70C7F" w:rsidRPr="4C34B60F">
        <w:rPr>
          <w:sz w:val="22"/>
          <w:szCs w:val="22"/>
        </w:rPr>
        <w:t xml:space="preserve">that all items loaded on. Additional, </w:t>
      </w:r>
      <w:r w:rsidR="00682870" w:rsidRPr="4C34B60F">
        <w:rPr>
          <w:sz w:val="22"/>
          <w:szCs w:val="22"/>
        </w:rPr>
        <w:t>task-specific factors</w:t>
      </w:r>
      <w:r w:rsidR="00D70C7F" w:rsidRPr="4C34B60F">
        <w:rPr>
          <w:sz w:val="22"/>
          <w:szCs w:val="22"/>
        </w:rPr>
        <w:t xml:space="preserve"> were specified</w:t>
      </w:r>
      <w:r w:rsidR="00682870" w:rsidRPr="4C34B60F">
        <w:rPr>
          <w:sz w:val="22"/>
          <w:szCs w:val="22"/>
        </w:rPr>
        <w:t xml:space="preserve"> for each SBT</w:t>
      </w:r>
      <w:r w:rsidR="00DC7444">
        <w:rPr>
          <w:rFonts w:ascii="ZWAdobeF" w:hAnsi="ZWAdobeF" w:cs="ZWAdobeF"/>
          <w:sz w:val="2"/>
          <w:szCs w:val="2"/>
        </w:rPr>
        <w:t>3F</w:t>
      </w:r>
      <w:r w:rsidR="00682870" w:rsidRPr="4C34B60F">
        <w:rPr>
          <w:rStyle w:val="FootnoteReference"/>
          <w:sz w:val="22"/>
          <w:szCs w:val="22"/>
        </w:rPr>
        <w:footnoteReference w:id="5"/>
      </w:r>
      <w:r w:rsidR="00682870" w:rsidRPr="4C34B60F">
        <w:rPr>
          <w:sz w:val="22"/>
          <w:szCs w:val="22"/>
        </w:rPr>
        <w:t xml:space="preserve">. </w:t>
      </w:r>
      <w:r w:rsidR="00D70C7F" w:rsidRPr="4C34B60F">
        <w:rPr>
          <w:sz w:val="22"/>
          <w:szCs w:val="22"/>
        </w:rPr>
        <w:t xml:space="preserve">As is usual for the bifactor model, all the factors were specified to be orthogonal.  </w:t>
      </w:r>
    </w:p>
    <w:p w14:paraId="491ACC1E" w14:textId="77777777" w:rsidR="00585B0C" w:rsidRDefault="00CF1135" w:rsidP="009B25EB">
      <w:pPr>
        <w:spacing w:after="160"/>
        <w:rPr>
          <w:rFonts w:cstheme="minorHAnsi"/>
          <w:sz w:val="22"/>
          <w:szCs w:val="23"/>
        </w:rPr>
      </w:pPr>
      <w:r w:rsidRPr="00374975">
        <w:rPr>
          <w:rFonts w:cstheme="minorHAnsi"/>
          <w:sz w:val="22"/>
          <w:szCs w:val="23"/>
        </w:rPr>
        <w:t>Compared to the unidimensional model,</w:t>
      </w:r>
      <w:r w:rsidR="002E53F1" w:rsidRPr="00374975">
        <w:rPr>
          <w:rFonts w:cstheme="minorHAnsi"/>
          <w:sz w:val="22"/>
          <w:szCs w:val="23"/>
        </w:rPr>
        <w:t xml:space="preserve"> </w:t>
      </w:r>
      <w:r w:rsidR="00682870" w:rsidRPr="00374975">
        <w:rPr>
          <w:rFonts w:cstheme="minorHAnsi"/>
          <w:sz w:val="22"/>
          <w:szCs w:val="23"/>
        </w:rPr>
        <w:t>the bifactor model show</w:t>
      </w:r>
      <w:r w:rsidR="00BB3E32" w:rsidRPr="00374975">
        <w:rPr>
          <w:rFonts w:cstheme="minorHAnsi"/>
          <w:sz w:val="22"/>
          <w:szCs w:val="23"/>
        </w:rPr>
        <w:t>ed</w:t>
      </w:r>
      <w:r w:rsidR="00682870" w:rsidRPr="00374975">
        <w:rPr>
          <w:rFonts w:cstheme="minorHAnsi"/>
          <w:sz w:val="22"/>
          <w:szCs w:val="23"/>
        </w:rPr>
        <w:t xml:space="preserve"> improve</w:t>
      </w:r>
      <w:r w:rsidR="0028483F" w:rsidRPr="00374975">
        <w:rPr>
          <w:rFonts w:cstheme="minorHAnsi"/>
          <w:sz w:val="22"/>
          <w:szCs w:val="23"/>
        </w:rPr>
        <w:t>d</w:t>
      </w:r>
      <w:r w:rsidR="00682870" w:rsidRPr="00374975">
        <w:rPr>
          <w:rFonts w:cstheme="minorHAnsi"/>
          <w:sz w:val="22"/>
          <w:szCs w:val="23"/>
        </w:rPr>
        <w:t xml:space="preserve"> model fit for all three grades</w:t>
      </w:r>
      <w:r w:rsidR="0030786E" w:rsidRPr="00374975">
        <w:rPr>
          <w:rFonts w:cstheme="minorHAnsi"/>
          <w:sz w:val="22"/>
          <w:szCs w:val="23"/>
        </w:rPr>
        <w:t xml:space="preserve"> based on </w:t>
      </w:r>
      <w:r w:rsidR="00901B59" w:rsidRPr="00374975">
        <w:rPr>
          <w:rFonts w:cstheme="minorHAnsi"/>
          <w:sz w:val="22"/>
          <w:szCs w:val="23"/>
        </w:rPr>
        <w:t xml:space="preserve">the BIC </w:t>
      </w:r>
      <w:r w:rsidR="0030786E" w:rsidRPr="00374975">
        <w:rPr>
          <w:rFonts w:cstheme="minorHAnsi"/>
          <w:sz w:val="22"/>
          <w:szCs w:val="23"/>
        </w:rPr>
        <w:t>model fit statistic</w:t>
      </w:r>
      <w:r w:rsidR="00901B59" w:rsidRPr="00374975">
        <w:rPr>
          <w:rFonts w:cstheme="minorHAnsi"/>
          <w:sz w:val="22"/>
          <w:szCs w:val="23"/>
        </w:rPr>
        <w:t>.</w:t>
      </w:r>
      <w:r w:rsidR="002F6C0D" w:rsidRPr="00374975">
        <w:rPr>
          <w:rFonts w:cstheme="minorHAnsi"/>
          <w:sz w:val="22"/>
          <w:szCs w:val="23"/>
        </w:rPr>
        <w:t xml:space="preserve"> </w:t>
      </w:r>
      <w:r w:rsidR="0006385F" w:rsidRPr="00374975">
        <w:rPr>
          <w:rFonts w:cstheme="minorHAnsi"/>
          <w:sz w:val="22"/>
          <w:szCs w:val="23"/>
        </w:rPr>
        <w:t xml:space="preserve">Table 2 contains the </w:t>
      </w:r>
      <w:r w:rsidR="00C74AA9" w:rsidRPr="00374975">
        <w:rPr>
          <w:rFonts w:cstheme="minorHAnsi"/>
          <w:sz w:val="22"/>
          <w:szCs w:val="23"/>
        </w:rPr>
        <w:t xml:space="preserve">BIC </w:t>
      </w:r>
      <w:r w:rsidR="00646865" w:rsidRPr="00374975">
        <w:rPr>
          <w:rFonts w:cstheme="minorHAnsi"/>
          <w:sz w:val="22"/>
          <w:szCs w:val="23"/>
        </w:rPr>
        <w:t>for the unidimensional and bifactor models at each grade.</w:t>
      </w:r>
    </w:p>
    <w:p w14:paraId="782D578D" w14:textId="00BC0BBC" w:rsidR="003502B4" w:rsidRPr="00AB4AF6" w:rsidRDefault="003502B4" w:rsidP="009B25EB">
      <w:pPr>
        <w:spacing w:after="160"/>
        <w:rPr>
          <w:rFonts w:cstheme="minorHAnsi"/>
          <w:sz w:val="22"/>
          <w:szCs w:val="23"/>
        </w:rPr>
      </w:pPr>
      <w:r w:rsidRPr="00605BE7">
        <w:rPr>
          <w:rFonts w:cstheme="minorHAnsi"/>
          <w:sz w:val="22"/>
        </w:rPr>
        <w:t>Table 2</w:t>
      </w:r>
      <w:r w:rsidR="00107089" w:rsidRPr="00605BE7">
        <w:rPr>
          <w:rFonts w:cstheme="minorHAnsi"/>
          <w:sz w:val="22"/>
        </w:rPr>
        <w:t>.</w:t>
      </w:r>
      <w:r w:rsidR="00107089" w:rsidRPr="00605BE7">
        <w:rPr>
          <w:rFonts w:cstheme="minorHAnsi"/>
          <w:i/>
          <w:sz w:val="22"/>
        </w:rPr>
        <w:t xml:space="preserve"> </w:t>
      </w:r>
      <w:r w:rsidRPr="00605BE7">
        <w:rPr>
          <w:rFonts w:cstheme="minorHAnsi"/>
          <w:sz w:val="22"/>
        </w:rPr>
        <w:t>BIC fit statistics for the unidimensional and bifactor models, all grades</w:t>
      </w:r>
    </w:p>
    <w:tbl>
      <w:tblPr>
        <w:tblW w:w="5455" w:type="dxa"/>
        <w:tblLook w:val="04A0" w:firstRow="1" w:lastRow="0" w:firstColumn="1" w:lastColumn="0" w:noHBand="0" w:noVBand="1"/>
      </w:tblPr>
      <w:tblGrid>
        <w:gridCol w:w="780"/>
        <w:gridCol w:w="1795"/>
        <w:gridCol w:w="960"/>
        <w:gridCol w:w="960"/>
        <w:gridCol w:w="960"/>
      </w:tblGrid>
      <w:tr w:rsidR="003502B4" w:rsidRPr="00605BE7" w14:paraId="608535D9" w14:textId="77777777" w:rsidTr="00392453">
        <w:trPr>
          <w:trHeight w:val="314"/>
        </w:trPr>
        <w:tc>
          <w:tcPr>
            <w:tcW w:w="7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0DDC" w14:textId="77777777" w:rsidR="003502B4" w:rsidRPr="00605BE7" w:rsidRDefault="003502B4" w:rsidP="0075424A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8092" w14:textId="77777777" w:rsidR="003502B4" w:rsidRPr="00605BE7" w:rsidRDefault="003502B4" w:rsidP="0075424A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23E19" w14:textId="77777777" w:rsidR="003502B4" w:rsidRPr="00605BE7" w:rsidRDefault="003502B4" w:rsidP="0075424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Grade</w:t>
            </w:r>
          </w:p>
        </w:tc>
      </w:tr>
      <w:tr w:rsidR="003502B4" w:rsidRPr="00605BE7" w14:paraId="04A8CCC3" w14:textId="77777777" w:rsidTr="00392453">
        <w:trPr>
          <w:trHeight w:val="288"/>
        </w:trPr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ADD4" w14:textId="77777777" w:rsidR="003502B4" w:rsidRPr="00605BE7" w:rsidRDefault="003502B4" w:rsidP="0075424A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CA2B6" w14:textId="77777777" w:rsidR="003502B4" w:rsidRPr="00605BE7" w:rsidRDefault="003502B4" w:rsidP="0075424A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B1455" w14:textId="77777777" w:rsidR="003502B4" w:rsidRPr="00605BE7" w:rsidRDefault="003502B4" w:rsidP="0075424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7D027" w14:textId="77777777" w:rsidR="003502B4" w:rsidRPr="00605BE7" w:rsidRDefault="003502B4" w:rsidP="0075424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948C0" w14:textId="77777777" w:rsidR="003502B4" w:rsidRPr="00605BE7" w:rsidRDefault="003502B4" w:rsidP="0075424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3502B4" w:rsidRPr="00605BE7" w14:paraId="748400A5" w14:textId="77777777" w:rsidTr="00392453">
        <w:trPr>
          <w:trHeight w:val="288"/>
        </w:trPr>
        <w:tc>
          <w:tcPr>
            <w:tcW w:w="780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4149A" w14:textId="77777777" w:rsidR="003502B4" w:rsidRPr="00605BE7" w:rsidRDefault="003502B4" w:rsidP="0075424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BIC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747E4" w14:textId="77777777" w:rsidR="003502B4" w:rsidRPr="00605BE7" w:rsidRDefault="003502B4" w:rsidP="0075424A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Unidimensional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DB78A" w14:textId="77777777" w:rsidR="003502B4" w:rsidRPr="00605BE7" w:rsidRDefault="003502B4" w:rsidP="00754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722,791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70E71" w14:textId="77777777" w:rsidR="003502B4" w:rsidRPr="00605BE7" w:rsidRDefault="003502B4" w:rsidP="00754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860,859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1A858" w14:textId="77777777" w:rsidR="003502B4" w:rsidRPr="00605BE7" w:rsidRDefault="003502B4" w:rsidP="00754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731,138</w:t>
            </w:r>
          </w:p>
        </w:tc>
      </w:tr>
      <w:tr w:rsidR="003502B4" w:rsidRPr="00605BE7" w14:paraId="003F61D6" w14:textId="77777777" w:rsidTr="00392453">
        <w:trPr>
          <w:trHeight w:val="288"/>
        </w:trPr>
        <w:tc>
          <w:tcPr>
            <w:tcW w:w="7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719C17E" w14:textId="77777777" w:rsidR="003502B4" w:rsidRPr="00605BE7" w:rsidRDefault="003502B4" w:rsidP="0075424A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20A285" w14:textId="77777777" w:rsidR="003502B4" w:rsidRPr="00605BE7" w:rsidRDefault="003502B4" w:rsidP="0075424A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Bifactor SBT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076E15" w14:textId="77777777" w:rsidR="003502B4" w:rsidRPr="00605BE7" w:rsidRDefault="003502B4" w:rsidP="00754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722,355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16E416" w14:textId="77777777" w:rsidR="003502B4" w:rsidRPr="00605BE7" w:rsidRDefault="003502B4" w:rsidP="00754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858,837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390346" w14:textId="77777777" w:rsidR="003502B4" w:rsidRPr="00605BE7" w:rsidRDefault="003502B4" w:rsidP="00754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730,846</w:t>
            </w:r>
          </w:p>
        </w:tc>
      </w:tr>
      <w:tr w:rsidR="003502B4" w:rsidRPr="00605BE7" w14:paraId="14425ABE" w14:textId="77777777" w:rsidTr="00392453">
        <w:trPr>
          <w:trHeight w:val="288"/>
        </w:trPr>
        <w:tc>
          <w:tcPr>
            <w:tcW w:w="7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A98F435" w14:textId="77777777" w:rsidR="003502B4" w:rsidRPr="00605BE7" w:rsidRDefault="003502B4" w:rsidP="0075424A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D6833" w14:textId="77777777" w:rsidR="003502B4" w:rsidRPr="00605BE7" w:rsidRDefault="003502B4" w:rsidP="0075424A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Difference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357A8" w14:textId="77777777" w:rsidR="003502B4" w:rsidRPr="00605BE7" w:rsidRDefault="003502B4" w:rsidP="00754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-436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6A012" w14:textId="77777777" w:rsidR="003502B4" w:rsidRPr="00605BE7" w:rsidRDefault="003502B4" w:rsidP="00754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-2,022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7BCC9" w14:textId="5BCE225F" w:rsidR="003502B4" w:rsidRPr="00E53A12" w:rsidRDefault="003502B4" w:rsidP="3A656B1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53A12">
              <w:rPr>
                <w:rFonts w:eastAsia="Times New Roman"/>
                <w:sz w:val="22"/>
                <w:szCs w:val="22"/>
              </w:rPr>
              <w:t>-</w:t>
            </w:r>
            <w:r w:rsidR="00E53A12" w:rsidRPr="00E53A12">
              <w:rPr>
                <w:rFonts w:eastAsia="Times New Roman"/>
                <w:sz w:val="22"/>
                <w:szCs w:val="22"/>
              </w:rPr>
              <w:t>29</w:t>
            </w:r>
            <w:r w:rsidR="00E53A12" w:rsidRPr="00E53A12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</w:tr>
    </w:tbl>
    <w:p w14:paraId="509FD7D4" w14:textId="77777777" w:rsidR="003502B4" w:rsidRPr="00605BE7" w:rsidRDefault="003502B4" w:rsidP="003502B4">
      <w:pPr>
        <w:rPr>
          <w:rFonts w:cstheme="minorHAnsi"/>
          <w:sz w:val="22"/>
        </w:rPr>
      </w:pPr>
    </w:p>
    <w:p w14:paraId="51AF9F47" w14:textId="28955531" w:rsidR="008807B5" w:rsidRPr="008D11BE" w:rsidRDefault="00A20956" w:rsidP="009B25EB">
      <w:pPr>
        <w:spacing w:after="160"/>
        <w:rPr>
          <w:sz w:val="22"/>
          <w:szCs w:val="22"/>
        </w:rPr>
      </w:pPr>
      <w:r w:rsidRPr="004B6BD2">
        <w:rPr>
          <w:sz w:val="22"/>
          <w:szCs w:val="23"/>
        </w:rPr>
        <w:t>In addition to global model fit</w:t>
      </w:r>
      <w:r w:rsidR="00251BB1" w:rsidRPr="004B6BD2">
        <w:rPr>
          <w:sz w:val="22"/>
          <w:szCs w:val="23"/>
        </w:rPr>
        <w:t xml:space="preserve"> statistics</w:t>
      </w:r>
      <w:r w:rsidRPr="004B6BD2">
        <w:rPr>
          <w:sz w:val="22"/>
          <w:szCs w:val="23"/>
        </w:rPr>
        <w:t xml:space="preserve">, </w:t>
      </w:r>
      <w:r w:rsidR="00682870" w:rsidRPr="004B6BD2">
        <w:rPr>
          <w:sz w:val="22"/>
          <w:szCs w:val="23"/>
        </w:rPr>
        <w:t xml:space="preserve">the </w:t>
      </w:r>
      <w:r w:rsidR="003F11FD" w:rsidRPr="004B6BD2">
        <w:rPr>
          <w:sz w:val="22"/>
          <w:szCs w:val="23"/>
        </w:rPr>
        <w:t>loading</w:t>
      </w:r>
      <w:r w:rsidR="00682870" w:rsidRPr="004B6BD2">
        <w:rPr>
          <w:sz w:val="22"/>
          <w:szCs w:val="23"/>
        </w:rPr>
        <w:t xml:space="preserve"> estimates </w:t>
      </w:r>
      <w:r w:rsidR="00FA1D56" w:rsidRPr="004B6BD2">
        <w:rPr>
          <w:sz w:val="22"/>
          <w:szCs w:val="23"/>
        </w:rPr>
        <w:t xml:space="preserve">for individual items </w:t>
      </w:r>
      <w:r w:rsidR="00682870" w:rsidRPr="004B6BD2">
        <w:rPr>
          <w:sz w:val="22"/>
          <w:szCs w:val="23"/>
        </w:rPr>
        <w:t xml:space="preserve">from the general factor of the bifactor model </w:t>
      </w:r>
      <w:r w:rsidR="00A54DBE" w:rsidRPr="004B6BD2">
        <w:rPr>
          <w:sz w:val="22"/>
          <w:szCs w:val="23"/>
        </w:rPr>
        <w:t xml:space="preserve">are compared </w:t>
      </w:r>
      <w:r w:rsidR="003A430F" w:rsidRPr="004B6BD2">
        <w:rPr>
          <w:sz w:val="22"/>
          <w:szCs w:val="23"/>
        </w:rPr>
        <w:t>to those from</w:t>
      </w:r>
      <w:r w:rsidR="00682870" w:rsidRPr="004B6BD2">
        <w:rPr>
          <w:sz w:val="22"/>
          <w:szCs w:val="23"/>
        </w:rPr>
        <w:t xml:space="preserve"> the unidimensional model. </w:t>
      </w:r>
      <w:r w:rsidR="000C5529" w:rsidRPr="004B6BD2">
        <w:rPr>
          <w:sz w:val="22"/>
          <w:szCs w:val="23"/>
        </w:rPr>
        <w:t xml:space="preserve">Specifically, </w:t>
      </w:r>
      <w:r w:rsidR="00603FDE" w:rsidRPr="004B6BD2">
        <w:rPr>
          <w:sz w:val="22"/>
          <w:szCs w:val="23"/>
        </w:rPr>
        <w:t xml:space="preserve">differences in </w:t>
      </w:r>
      <w:r w:rsidR="000C5529" w:rsidRPr="004B6BD2">
        <w:rPr>
          <w:sz w:val="22"/>
          <w:szCs w:val="23"/>
        </w:rPr>
        <w:t>item parameter estimates between the two models</w:t>
      </w:r>
      <w:r w:rsidR="00603FDE" w:rsidRPr="004B6BD2">
        <w:rPr>
          <w:sz w:val="22"/>
          <w:szCs w:val="23"/>
        </w:rPr>
        <w:t xml:space="preserve"> could be an indication </w:t>
      </w:r>
      <w:r w:rsidR="00D11426" w:rsidRPr="004B6BD2">
        <w:rPr>
          <w:sz w:val="22"/>
          <w:szCs w:val="23"/>
        </w:rPr>
        <w:t xml:space="preserve">of presence of </w:t>
      </w:r>
      <w:r w:rsidR="002A3F02" w:rsidRPr="004B6BD2">
        <w:rPr>
          <w:sz w:val="22"/>
          <w:szCs w:val="23"/>
        </w:rPr>
        <w:t xml:space="preserve">a </w:t>
      </w:r>
      <w:r w:rsidR="00D11426" w:rsidRPr="004B6BD2">
        <w:rPr>
          <w:sz w:val="22"/>
          <w:szCs w:val="23"/>
        </w:rPr>
        <w:t>testlet effect</w:t>
      </w:r>
      <w:r w:rsidR="05E3F976" w:rsidRPr="004B6BD2">
        <w:rPr>
          <w:sz w:val="22"/>
          <w:szCs w:val="23"/>
        </w:rPr>
        <w:t>;</w:t>
      </w:r>
      <w:r w:rsidR="008A178F" w:rsidRPr="004B6BD2">
        <w:rPr>
          <w:sz w:val="22"/>
          <w:szCs w:val="23"/>
        </w:rPr>
        <w:t xml:space="preserve"> that is</w:t>
      </w:r>
      <w:r w:rsidR="002A3F02" w:rsidRPr="004B6BD2">
        <w:rPr>
          <w:sz w:val="22"/>
          <w:szCs w:val="23"/>
        </w:rPr>
        <w:t>,</w:t>
      </w:r>
      <w:r w:rsidR="008A178F" w:rsidRPr="004B6BD2">
        <w:rPr>
          <w:sz w:val="22"/>
          <w:szCs w:val="23"/>
        </w:rPr>
        <w:t xml:space="preserve"> potential bi</w:t>
      </w:r>
      <w:r w:rsidR="00585CBB" w:rsidRPr="004B6BD2">
        <w:rPr>
          <w:sz w:val="22"/>
          <w:szCs w:val="23"/>
        </w:rPr>
        <w:t>a</w:t>
      </w:r>
      <w:r w:rsidR="008A178F" w:rsidRPr="004B6BD2">
        <w:rPr>
          <w:sz w:val="22"/>
          <w:szCs w:val="23"/>
        </w:rPr>
        <w:t xml:space="preserve">s could be introduced into </w:t>
      </w:r>
      <w:r w:rsidR="00420D04" w:rsidRPr="004B6BD2">
        <w:rPr>
          <w:sz w:val="22"/>
          <w:szCs w:val="23"/>
        </w:rPr>
        <w:t xml:space="preserve">the item parameter estimates of the unidimensional model </w:t>
      </w:r>
      <w:r w:rsidR="00420D04" w:rsidRPr="3A656B1C">
        <w:rPr>
          <w:sz w:val="22"/>
          <w:szCs w:val="22"/>
        </w:rPr>
        <w:t>as a result of neglecting testlet effects</w:t>
      </w:r>
      <w:r w:rsidR="000352D1" w:rsidRPr="3A656B1C">
        <w:rPr>
          <w:sz w:val="22"/>
          <w:szCs w:val="22"/>
        </w:rPr>
        <w:t xml:space="preserve">. </w:t>
      </w:r>
      <w:r w:rsidR="00314E6F" w:rsidRPr="3A656B1C">
        <w:rPr>
          <w:sz w:val="22"/>
          <w:szCs w:val="22"/>
        </w:rPr>
        <w:t xml:space="preserve">The differences in loading parameters </w:t>
      </w:r>
      <w:r w:rsidR="00CB03C4" w:rsidRPr="3A656B1C">
        <w:rPr>
          <w:sz w:val="22"/>
          <w:szCs w:val="22"/>
        </w:rPr>
        <w:t xml:space="preserve">were calculated </w:t>
      </w:r>
      <w:r w:rsidR="00EF7CE4" w:rsidRPr="3A656B1C">
        <w:rPr>
          <w:sz w:val="22"/>
          <w:szCs w:val="22"/>
        </w:rPr>
        <w:t>(</w:t>
      </w:r>
      <w:r w:rsidR="00CB03C4" w:rsidRPr="3A656B1C">
        <w:rPr>
          <w:sz w:val="22"/>
          <w:szCs w:val="22"/>
        </w:rPr>
        <w:t>as a percentage</w:t>
      </w:r>
      <w:r w:rsidR="00EF7CE4" w:rsidRPr="3A656B1C">
        <w:rPr>
          <w:sz w:val="22"/>
          <w:szCs w:val="22"/>
        </w:rPr>
        <w:t>)</w:t>
      </w:r>
      <w:r w:rsidR="00CB03C4" w:rsidRPr="3A656B1C">
        <w:rPr>
          <w:sz w:val="22"/>
          <w:szCs w:val="22"/>
        </w:rPr>
        <w:t xml:space="preserve"> </w:t>
      </w:r>
      <w:r w:rsidR="003A24FF" w:rsidRPr="3A656B1C">
        <w:rPr>
          <w:sz w:val="22"/>
          <w:szCs w:val="22"/>
        </w:rPr>
        <w:t>by</w:t>
      </w:r>
      <w:r w:rsidR="007E4160" w:rsidRPr="3A656B1C">
        <w:rPr>
          <w:sz w:val="22"/>
          <w:szCs w:val="22"/>
        </w:rPr>
        <w:t xml:space="preserve"> the</w:t>
      </w:r>
      <w:r w:rsidR="00CB03C4" w:rsidRPr="3A656B1C">
        <w:rPr>
          <w:sz w:val="22"/>
          <w:szCs w:val="22"/>
        </w:rPr>
        <w:t xml:space="preserve"> difference between the unidimensional and the bifactor loading parameter</w:t>
      </w:r>
      <w:r w:rsidR="0090448A" w:rsidRPr="3A656B1C">
        <w:rPr>
          <w:sz w:val="22"/>
          <w:szCs w:val="22"/>
        </w:rPr>
        <w:t xml:space="preserve"> (on the </w:t>
      </w:r>
      <w:r w:rsidR="0090448A" w:rsidRPr="3A656B1C">
        <w:rPr>
          <w:i/>
          <w:iCs/>
          <w:sz w:val="22"/>
          <w:szCs w:val="22"/>
        </w:rPr>
        <w:t>general</w:t>
      </w:r>
      <w:r w:rsidR="0090448A" w:rsidRPr="3A656B1C">
        <w:rPr>
          <w:sz w:val="22"/>
          <w:szCs w:val="22"/>
        </w:rPr>
        <w:t xml:space="preserve"> factor)</w:t>
      </w:r>
      <w:r w:rsidR="00CB03C4" w:rsidRPr="3A656B1C">
        <w:rPr>
          <w:sz w:val="22"/>
          <w:szCs w:val="22"/>
        </w:rPr>
        <w:t xml:space="preserve">, divided by the </w:t>
      </w:r>
      <w:r w:rsidR="00FA1CD0" w:rsidRPr="3A656B1C">
        <w:rPr>
          <w:sz w:val="22"/>
          <w:szCs w:val="22"/>
        </w:rPr>
        <w:t>bifactor</w:t>
      </w:r>
      <w:r w:rsidR="00CB03C4" w:rsidRPr="3A656B1C">
        <w:rPr>
          <w:sz w:val="22"/>
          <w:szCs w:val="22"/>
        </w:rPr>
        <w:t xml:space="preserve"> loading parameter. </w:t>
      </w:r>
      <w:r w:rsidR="00FB3605" w:rsidRPr="3A656B1C">
        <w:rPr>
          <w:sz w:val="22"/>
          <w:szCs w:val="22"/>
        </w:rPr>
        <w:t xml:space="preserve">Here, </w:t>
      </w:r>
      <w:r w:rsidR="00EB7F6B" w:rsidRPr="3A656B1C">
        <w:rPr>
          <w:sz w:val="22"/>
          <w:szCs w:val="22"/>
        </w:rPr>
        <w:t xml:space="preserve">the percentage of change in loading </w:t>
      </w:r>
      <w:r w:rsidR="00070572" w:rsidRPr="3A656B1C">
        <w:rPr>
          <w:sz w:val="22"/>
          <w:szCs w:val="22"/>
        </w:rPr>
        <w:t xml:space="preserve">less than 15% </w:t>
      </w:r>
      <w:r w:rsidR="00EB7F6B" w:rsidRPr="3A656B1C">
        <w:rPr>
          <w:sz w:val="22"/>
          <w:szCs w:val="22"/>
        </w:rPr>
        <w:t xml:space="preserve">is considered </w:t>
      </w:r>
      <w:r w:rsidR="0006530A" w:rsidRPr="3A656B1C">
        <w:rPr>
          <w:sz w:val="22"/>
          <w:szCs w:val="22"/>
        </w:rPr>
        <w:t>negligible</w:t>
      </w:r>
      <w:r w:rsidR="00070572" w:rsidRPr="3A656B1C">
        <w:rPr>
          <w:sz w:val="22"/>
          <w:szCs w:val="22"/>
        </w:rPr>
        <w:t xml:space="preserve">, following the recommendation by </w:t>
      </w:r>
      <w:r w:rsidR="00BC27DD" w:rsidRPr="3A656B1C">
        <w:rPr>
          <w:sz w:val="22"/>
          <w:szCs w:val="22"/>
        </w:rPr>
        <w:t>Muth</w:t>
      </w:r>
      <w:r w:rsidR="004360A6" w:rsidRPr="3A656B1C">
        <w:rPr>
          <w:sz w:val="22"/>
          <w:szCs w:val="22"/>
        </w:rPr>
        <w:t>é</w:t>
      </w:r>
      <w:r w:rsidR="00BC27DD" w:rsidRPr="3A656B1C">
        <w:rPr>
          <w:sz w:val="22"/>
          <w:szCs w:val="22"/>
        </w:rPr>
        <w:t>n, Kaplan, and Hollis (1987</w:t>
      </w:r>
      <w:r w:rsidR="009C2333" w:rsidRPr="3A656B1C">
        <w:rPr>
          <w:sz w:val="22"/>
          <w:szCs w:val="22"/>
        </w:rPr>
        <w:t>, p.</w:t>
      </w:r>
      <w:r w:rsidR="77D093A0" w:rsidRPr="3A656B1C">
        <w:rPr>
          <w:sz w:val="22"/>
          <w:szCs w:val="22"/>
        </w:rPr>
        <w:t xml:space="preserve"> </w:t>
      </w:r>
      <w:r w:rsidR="009C2333" w:rsidRPr="3A656B1C">
        <w:rPr>
          <w:sz w:val="22"/>
          <w:szCs w:val="22"/>
        </w:rPr>
        <w:t>446</w:t>
      </w:r>
      <w:r w:rsidR="00BC27DD" w:rsidRPr="3A656B1C">
        <w:rPr>
          <w:sz w:val="22"/>
          <w:szCs w:val="22"/>
        </w:rPr>
        <w:t>)</w:t>
      </w:r>
      <w:r w:rsidR="0024289F" w:rsidRPr="3A656B1C">
        <w:rPr>
          <w:sz w:val="22"/>
          <w:szCs w:val="22"/>
        </w:rPr>
        <w:t>.</w:t>
      </w:r>
      <w:r w:rsidR="00CB03C4" w:rsidRPr="3A656B1C" w:rsidDel="007D186D">
        <w:rPr>
          <w:sz w:val="22"/>
          <w:szCs w:val="22"/>
        </w:rPr>
        <w:t xml:space="preserve"> </w:t>
      </w:r>
      <w:r w:rsidR="00682870" w:rsidRPr="3A656B1C" w:rsidDel="007D186D">
        <w:rPr>
          <w:sz w:val="22"/>
          <w:szCs w:val="22"/>
        </w:rPr>
        <w:t xml:space="preserve">For </w:t>
      </w:r>
      <w:r w:rsidR="006D11EE">
        <w:rPr>
          <w:sz w:val="22"/>
          <w:szCs w:val="22"/>
        </w:rPr>
        <w:t>discrete</w:t>
      </w:r>
      <w:r w:rsidR="00602999" w:rsidRPr="3A656B1C" w:rsidDel="007D186D">
        <w:rPr>
          <w:sz w:val="22"/>
          <w:szCs w:val="22"/>
        </w:rPr>
        <w:t xml:space="preserve"> items</w:t>
      </w:r>
      <w:r w:rsidR="00682870" w:rsidRPr="3A656B1C" w:rsidDel="007D186D">
        <w:rPr>
          <w:sz w:val="22"/>
          <w:szCs w:val="22"/>
        </w:rPr>
        <w:t xml:space="preserve">, the differences </w:t>
      </w:r>
      <w:r w:rsidR="00682870" w:rsidRPr="3A656B1C" w:rsidDel="007D186D">
        <w:rPr>
          <w:sz w:val="22"/>
          <w:szCs w:val="22"/>
        </w:rPr>
        <w:lastRenderedPageBreak/>
        <w:t xml:space="preserve">in </w:t>
      </w:r>
      <w:r w:rsidR="00A2690F" w:rsidRPr="3A656B1C" w:rsidDel="007D186D">
        <w:rPr>
          <w:sz w:val="22"/>
          <w:szCs w:val="22"/>
        </w:rPr>
        <w:t>loadings</w:t>
      </w:r>
      <w:r w:rsidR="00682870" w:rsidRPr="3A656B1C" w:rsidDel="007D186D">
        <w:rPr>
          <w:sz w:val="22"/>
          <w:szCs w:val="22"/>
        </w:rPr>
        <w:t xml:space="preserve"> between the two models were negligible in all grades. </w:t>
      </w:r>
      <w:r w:rsidR="00682870" w:rsidRPr="3A656B1C">
        <w:rPr>
          <w:sz w:val="22"/>
          <w:szCs w:val="22"/>
        </w:rPr>
        <w:t>For a few SBT items</w:t>
      </w:r>
      <w:r w:rsidR="007B716C" w:rsidRPr="3A656B1C">
        <w:rPr>
          <w:sz w:val="22"/>
          <w:szCs w:val="22"/>
        </w:rPr>
        <w:t xml:space="preserve"> across the various SBT</w:t>
      </w:r>
      <w:r w:rsidR="00836D00" w:rsidRPr="3A656B1C">
        <w:rPr>
          <w:sz w:val="22"/>
          <w:szCs w:val="22"/>
        </w:rPr>
        <w:t>s</w:t>
      </w:r>
      <w:r w:rsidR="00682870" w:rsidRPr="3A656B1C">
        <w:rPr>
          <w:sz w:val="22"/>
          <w:szCs w:val="22"/>
        </w:rPr>
        <w:t xml:space="preserve">, the differences in </w:t>
      </w:r>
      <w:r w:rsidR="00A906AB" w:rsidRPr="3A656B1C">
        <w:rPr>
          <w:sz w:val="22"/>
          <w:szCs w:val="22"/>
        </w:rPr>
        <w:t>loading</w:t>
      </w:r>
      <w:r w:rsidR="00682870" w:rsidRPr="3A656B1C">
        <w:rPr>
          <w:sz w:val="22"/>
          <w:szCs w:val="22"/>
        </w:rPr>
        <w:t xml:space="preserve"> estimates </w:t>
      </w:r>
      <w:r w:rsidR="007B716C" w:rsidRPr="3A656B1C">
        <w:rPr>
          <w:sz w:val="22"/>
          <w:szCs w:val="22"/>
        </w:rPr>
        <w:t>exceeded</w:t>
      </w:r>
      <w:r w:rsidR="0054319D" w:rsidRPr="3A656B1C">
        <w:rPr>
          <w:sz w:val="22"/>
          <w:szCs w:val="22"/>
        </w:rPr>
        <w:t xml:space="preserve"> this criterion.</w:t>
      </w:r>
      <w:r w:rsidR="001A6123" w:rsidRPr="3A656B1C">
        <w:rPr>
          <w:sz w:val="22"/>
          <w:szCs w:val="22"/>
        </w:rPr>
        <w:t xml:space="preserve"> That most</w:t>
      </w:r>
      <w:r w:rsidR="00793200" w:rsidRPr="3A656B1C">
        <w:rPr>
          <w:sz w:val="22"/>
          <w:szCs w:val="22"/>
        </w:rPr>
        <w:t xml:space="preserve"> loading parameters fall below the 15% criterion suggests that there is little potential </w:t>
      </w:r>
      <w:r w:rsidR="0095627C" w:rsidRPr="3A656B1C">
        <w:rPr>
          <w:sz w:val="22"/>
          <w:szCs w:val="22"/>
        </w:rPr>
        <w:t xml:space="preserve">systematic error introduced into the unidimensional parameter estimates as a result of ignoring </w:t>
      </w:r>
      <w:r w:rsidR="00C768FF" w:rsidRPr="3A656B1C">
        <w:rPr>
          <w:sz w:val="22"/>
          <w:szCs w:val="22"/>
        </w:rPr>
        <w:t>a testlet structure.</w:t>
      </w:r>
      <w:r w:rsidR="00C41467" w:rsidRPr="3A656B1C">
        <w:rPr>
          <w:sz w:val="22"/>
          <w:szCs w:val="22"/>
        </w:rPr>
        <w:t xml:space="preserve"> </w:t>
      </w:r>
      <w:r w:rsidR="00A72241" w:rsidRPr="3A656B1C">
        <w:rPr>
          <w:sz w:val="22"/>
          <w:szCs w:val="22"/>
        </w:rPr>
        <w:t xml:space="preserve">The </w:t>
      </w:r>
      <w:r w:rsidR="00FE0237" w:rsidRPr="3A656B1C">
        <w:rPr>
          <w:sz w:val="22"/>
          <w:szCs w:val="22"/>
        </w:rPr>
        <w:t xml:space="preserve">percent of change of the loading </w:t>
      </w:r>
      <w:r w:rsidR="00D270DA" w:rsidRPr="3A656B1C">
        <w:rPr>
          <w:sz w:val="22"/>
          <w:szCs w:val="22"/>
        </w:rPr>
        <w:t>parameters</w:t>
      </w:r>
      <w:r w:rsidR="00FE0237" w:rsidRPr="3A656B1C">
        <w:rPr>
          <w:sz w:val="22"/>
          <w:szCs w:val="22"/>
        </w:rPr>
        <w:t xml:space="preserve"> </w:t>
      </w:r>
      <w:r w:rsidR="50D1D94D" w:rsidRPr="3A656B1C">
        <w:rPr>
          <w:sz w:val="22"/>
          <w:szCs w:val="22"/>
        </w:rPr>
        <w:t xml:space="preserve">is </w:t>
      </w:r>
      <w:r w:rsidR="00C55AAE" w:rsidRPr="3A656B1C">
        <w:rPr>
          <w:sz w:val="22"/>
          <w:szCs w:val="22"/>
        </w:rPr>
        <w:t>presented in the first column in Table 3 for the SB</w:t>
      </w:r>
      <w:r w:rsidR="008013BC" w:rsidRPr="3A656B1C">
        <w:rPr>
          <w:sz w:val="22"/>
          <w:szCs w:val="22"/>
        </w:rPr>
        <w:t>Ts</w:t>
      </w:r>
      <w:r w:rsidR="00C55AAE" w:rsidRPr="3A656B1C">
        <w:rPr>
          <w:sz w:val="22"/>
          <w:szCs w:val="22"/>
        </w:rPr>
        <w:t xml:space="preserve"> at grade 8. </w:t>
      </w:r>
      <w:r w:rsidR="00682870" w:rsidRPr="3A656B1C">
        <w:rPr>
          <w:sz w:val="22"/>
          <w:szCs w:val="22"/>
        </w:rPr>
        <w:t xml:space="preserve">Table </w:t>
      </w:r>
      <w:r w:rsidR="004F7950" w:rsidRPr="3A656B1C">
        <w:rPr>
          <w:sz w:val="22"/>
          <w:szCs w:val="22"/>
        </w:rPr>
        <w:t xml:space="preserve">3 </w:t>
      </w:r>
      <w:r w:rsidR="009353CA" w:rsidRPr="3A656B1C">
        <w:rPr>
          <w:sz w:val="22"/>
          <w:szCs w:val="22"/>
        </w:rPr>
        <w:t>also</w:t>
      </w:r>
      <w:r w:rsidR="004F7950" w:rsidRPr="3A656B1C">
        <w:rPr>
          <w:sz w:val="22"/>
          <w:szCs w:val="22"/>
        </w:rPr>
        <w:t xml:space="preserve"> </w:t>
      </w:r>
      <w:r w:rsidR="00682870" w:rsidRPr="3A656B1C">
        <w:rPr>
          <w:sz w:val="22"/>
          <w:szCs w:val="22"/>
        </w:rPr>
        <w:t>contains the loading</w:t>
      </w:r>
      <w:r w:rsidR="003F2E3D" w:rsidRPr="3A656B1C">
        <w:rPr>
          <w:sz w:val="22"/>
          <w:szCs w:val="22"/>
        </w:rPr>
        <w:t>s</w:t>
      </w:r>
      <w:r w:rsidR="008755DF" w:rsidRPr="3A656B1C">
        <w:rPr>
          <w:sz w:val="22"/>
          <w:szCs w:val="22"/>
        </w:rPr>
        <w:t xml:space="preserve"> and</w:t>
      </w:r>
      <w:r w:rsidR="00682870" w:rsidRPr="3A656B1C">
        <w:rPr>
          <w:sz w:val="22"/>
          <w:szCs w:val="22"/>
        </w:rPr>
        <w:t xml:space="preserve"> </w:t>
      </w:r>
      <w:r w:rsidR="00DB674B" w:rsidRPr="3A656B1C">
        <w:rPr>
          <w:sz w:val="22"/>
          <w:szCs w:val="22"/>
        </w:rPr>
        <w:t xml:space="preserve">estimated </w:t>
      </w:r>
      <w:r w:rsidR="00682870" w:rsidRPr="3A656B1C">
        <w:rPr>
          <w:sz w:val="22"/>
          <w:szCs w:val="22"/>
        </w:rPr>
        <w:t>standard error (SE</w:t>
      </w:r>
      <w:r w:rsidR="00DC7444">
        <w:rPr>
          <w:rFonts w:ascii="ZWAdobeF" w:hAnsi="ZWAdobeF" w:cs="ZWAdobeF"/>
          <w:sz w:val="2"/>
          <w:szCs w:val="2"/>
        </w:rPr>
        <w:t>4F</w:t>
      </w:r>
      <w:r w:rsidR="00DB674B" w:rsidRPr="3A656B1C">
        <w:rPr>
          <w:rStyle w:val="FootnoteReference"/>
          <w:sz w:val="22"/>
          <w:szCs w:val="22"/>
        </w:rPr>
        <w:footnoteReference w:id="6"/>
      </w:r>
      <w:r w:rsidR="00682870" w:rsidRPr="3A656B1C">
        <w:rPr>
          <w:sz w:val="22"/>
          <w:szCs w:val="22"/>
        </w:rPr>
        <w:t>) of that loading for all SBT items at grade 8 on both the general and specific factors</w:t>
      </w:r>
      <w:r w:rsidR="008D7829" w:rsidRPr="3A656B1C">
        <w:rPr>
          <w:sz w:val="22"/>
          <w:szCs w:val="22"/>
        </w:rPr>
        <w:t xml:space="preserve"> from the b</w:t>
      </w:r>
      <w:r w:rsidR="008206E9" w:rsidRPr="3A656B1C">
        <w:rPr>
          <w:sz w:val="22"/>
          <w:szCs w:val="22"/>
        </w:rPr>
        <w:t>ifactor model</w:t>
      </w:r>
      <w:r w:rsidR="009773A5" w:rsidRPr="3A656B1C">
        <w:rPr>
          <w:sz w:val="22"/>
          <w:szCs w:val="22"/>
        </w:rPr>
        <w:t xml:space="preserve"> and </w:t>
      </w:r>
      <w:r w:rsidR="00FF4B75" w:rsidRPr="3A656B1C">
        <w:rPr>
          <w:sz w:val="22"/>
          <w:szCs w:val="22"/>
        </w:rPr>
        <w:t>from the uni</w:t>
      </w:r>
      <w:r w:rsidR="00A810B9" w:rsidRPr="3A656B1C">
        <w:rPr>
          <w:sz w:val="22"/>
          <w:szCs w:val="22"/>
        </w:rPr>
        <w:t>dimensional</w:t>
      </w:r>
      <w:r w:rsidR="004A1799" w:rsidRPr="3A656B1C">
        <w:rPr>
          <w:sz w:val="22"/>
          <w:szCs w:val="22"/>
        </w:rPr>
        <w:t xml:space="preserve"> model</w:t>
      </w:r>
      <w:r w:rsidR="00682870" w:rsidRPr="3A656B1C">
        <w:rPr>
          <w:sz w:val="22"/>
          <w:szCs w:val="22"/>
        </w:rPr>
        <w:t xml:space="preserve">. All four items in the </w:t>
      </w:r>
      <w:r w:rsidR="001F193B">
        <w:rPr>
          <w:sz w:val="22"/>
          <w:szCs w:val="22"/>
        </w:rPr>
        <w:t>hybrid hands-on task (</w:t>
      </w:r>
      <w:r w:rsidR="00682870" w:rsidRPr="3A656B1C">
        <w:rPr>
          <w:sz w:val="22"/>
          <w:szCs w:val="22"/>
        </w:rPr>
        <w:t>HHO</w:t>
      </w:r>
      <w:r w:rsidR="00921209">
        <w:rPr>
          <w:sz w:val="22"/>
          <w:szCs w:val="22"/>
        </w:rPr>
        <w:t>T)</w:t>
      </w:r>
      <w:r w:rsidR="00682870" w:rsidRPr="3A656B1C">
        <w:rPr>
          <w:sz w:val="22"/>
          <w:szCs w:val="22"/>
        </w:rPr>
        <w:t xml:space="preserve">  are associated with </w:t>
      </w:r>
      <w:r w:rsidR="000054CA" w:rsidRPr="3A656B1C">
        <w:rPr>
          <w:sz w:val="22"/>
          <w:szCs w:val="22"/>
        </w:rPr>
        <w:t xml:space="preserve">relatively large </w:t>
      </w:r>
      <w:r w:rsidR="00682870" w:rsidRPr="3A656B1C">
        <w:rPr>
          <w:sz w:val="22"/>
          <w:szCs w:val="22"/>
        </w:rPr>
        <w:t xml:space="preserve">loadings on both the task-specific and general factors. The first two items in the </w:t>
      </w:r>
      <w:r w:rsidR="00D558B8">
        <w:rPr>
          <w:sz w:val="22"/>
          <w:szCs w:val="22"/>
        </w:rPr>
        <w:t>interactive computer task (</w:t>
      </w:r>
      <w:r w:rsidR="00682870" w:rsidRPr="3A656B1C">
        <w:rPr>
          <w:sz w:val="22"/>
          <w:szCs w:val="22"/>
        </w:rPr>
        <w:t>ICT</w:t>
      </w:r>
      <w:r w:rsidR="00D558B8">
        <w:rPr>
          <w:sz w:val="22"/>
          <w:szCs w:val="22"/>
        </w:rPr>
        <w:t>)</w:t>
      </w:r>
      <w:r w:rsidR="00682870" w:rsidRPr="3A656B1C">
        <w:rPr>
          <w:sz w:val="22"/>
          <w:szCs w:val="22"/>
        </w:rPr>
        <w:t xml:space="preserve"> </w:t>
      </w:r>
      <w:r w:rsidR="00143A2D" w:rsidRPr="3A656B1C">
        <w:rPr>
          <w:sz w:val="22"/>
          <w:szCs w:val="22"/>
        </w:rPr>
        <w:t xml:space="preserve">1 </w:t>
      </w:r>
      <w:r w:rsidR="002E4201" w:rsidRPr="3A656B1C">
        <w:rPr>
          <w:sz w:val="22"/>
          <w:szCs w:val="22"/>
        </w:rPr>
        <w:t>have high loadings on the task-specific factor. This pattern</w:t>
      </w:r>
      <w:r w:rsidR="00682870" w:rsidRPr="3A656B1C">
        <w:rPr>
          <w:sz w:val="22"/>
          <w:szCs w:val="22"/>
        </w:rPr>
        <w:t xml:space="preserve"> </w:t>
      </w:r>
      <w:r w:rsidR="002E4201" w:rsidRPr="3A656B1C">
        <w:rPr>
          <w:sz w:val="22"/>
          <w:szCs w:val="22"/>
        </w:rPr>
        <w:t xml:space="preserve">is </w:t>
      </w:r>
      <w:r w:rsidR="008748D6" w:rsidRPr="3A656B1C">
        <w:rPr>
          <w:sz w:val="22"/>
          <w:szCs w:val="22"/>
        </w:rPr>
        <w:t xml:space="preserve">an indication of </w:t>
      </w:r>
      <w:r w:rsidR="00906C54" w:rsidRPr="3A656B1C">
        <w:rPr>
          <w:sz w:val="22"/>
          <w:szCs w:val="22"/>
        </w:rPr>
        <w:t xml:space="preserve">potential </w:t>
      </w:r>
      <w:r w:rsidR="00682870" w:rsidRPr="3A656B1C">
        <w:rPr>
          <w:sz w:val="22"/>
          <w:szCs w:val="22"/>
        </w:rPr>
        <w:t>local item dependence for these two items</w:t>
      </w:r>
      <w:r w:rsidR="002E4201" w:rsidRPr="3A656B1C">
        <w:rPr>
          <w:sz w:val="22"/>
          <w:szCs w:val="22"/>
        </w:rPr>
        <w:t xml:space="preserve"> rather than a testlet effect for the </w:t>
      </w:r>
      <w:r w:rsidR="00836D00" w:rsidRPr="3A656B1C">
        <w:rPr>
          <w:sz w:val="22"/>
          <w:szCs w:val="22"/>
        </w:rPr>
        <w:t>SBT</w:t>
      </w:r>
      <w:r w:rsidR="00682870" w:rsidRPr="3A656B1C">
        <w:rPr>
          <w:sz w:val="22"/>
          <w:szCs w:val="22"/>
        </w:rPr>
        <w:t xml:space="preserve">. </w:t>
      </w:r>
      <w:r w:rsidR="008B12AB" w:rsidRPr="3A656B1C">
        <w:rPr>
          <w:sz w:val="22"/>
          <w:szCs w:val="22"/>
        </w:rPr>
        <w:t>Upon examination, those items are very similar in content, format, and actions that students must take to respond correctly</w:t>
      </w:r>
      <w:r w:rsidR="00604F76" w:rsidRPr="3A656B1C">
        <w:rPr>
          <w:sz w:val="22"/>
          <w:szCs w:val="22"/>
        </w:rPr>
        <w:t>.</w:t>
      </w:r>
      <w:r w:rsidR="005C1A58" w:rsidRPr="3A656B1C">
        <w:rPr>
          <w:sz w:val="22"/>
          <w:szCs w:val="22"/>
        </w:rPr>
        <w:t xml:space="preserve"> </w:t>
      </w:r>
      <w:r w:rsidR="00F206A6" w:rsidRPr="3A656B1C">
        <w:rPr>
          <w:sz w:val="22"/>
          <w:szCs w:val="22"/>
        </w:rPr>
        <w:t xml:space="preserve">The </w:t>
      </w:r>
      <w:r w:rsidR="00604F76" w:rsidRPr="3A656B1C">
        <w:rPr>
          <w:sz w:val="22"/>
          <w:szCs w:val="22"/>
        </w:rPr>
        <w:t>l</w:t>
      </w:r>
      <w:r w:rsidR="005C1A58" w:rsidRPr="3A656B1C">
        <w:rPr>
          <w:sz w:val="22"/>
          <w:szCs w:val="22"/>
        </w:rPr>
        <w:t xml:space="preserve">oadings for the remaining items </w:t>
      </w:r>
      <w:r w:rsidR="00963DD6" w:rsidRPr="3A656B1C">
        <w:rPr>
          <w:sz w:val="22"/>
          <w:szCs w:val="22"/>
        </w:rPr>
        <w:t xml:space="preserve">in ICT 1 </w:t>
      </w:r>
      <w:r w:rsidR="005C1A58" w:rsidRPr="3A656B1C">
        <w:rPr>
          <w:sz w:val="22"/>
          <w:szCs w:val="22"/>
        </w:rPr>
        <w:t>are moderate.</w:t>
      </w:r>
      <w:r w:rsidR="00682870" w:rsidRPr="3A656B1C">
        <w:rPr>
          <w:sz w:val="22"/>
          <w:szCs w:val="22"/>
        </w:rPr>
        <w:t xml:space="preserve"> Results are presented </w:t>
      </w:r>
      <w:r w:rsidR="15DD54E3" w:rsidRPr="3A656B1C">
        <w:rPr>
          <w:sz w:val="22"/>
          <w:szCs w:val="22"/>
        </w:rPr>
        <w:t xml:space="preserve">only </w:t>
      </w:r>
      <w:r w:rsidR="00682870" w:rsidRPr="3A656B1C">
        <w:rPr>
          <w:sz w:val="22"/>
          <w:szCs w:val="22"/>
        </w:rPr>
        <w:t>for grade 8</w:t>
      </w:r>
      <w:r w:rsidR="4BE26FD7" w:rsidRPr="3A656B1C">
        <w:rPr>
          <w:sz w:val="22"/>
          <w:szCs w:val="22"/>
        </w:rPr>
        <w:t>,</w:t>
      </w:r>
      <w:r w:rsidR="00682870" w:rsidRPr="3A656B1C">
        <w:rPr>
          <w:sz w:val="22"/>
          <w:szCs w:val="22"/>
        </w:rPr>
        <w:t xml:space="preserve"> as potential testlet effects are </w:t>
      </w:r>
      <w:r w:rsidR="002E4201" w:rsidRPr="3A656B1C">
        <w:rPr>
          <w:sz w:val="22"/>
          <w:szCs w:val="22"/>
        </w:rPr>
        <w:t xml:space="preserve">smaller </w:t>
      </w:r>
      <w:r w:rsidR="00682870" w:rsidRPr="3A656B1C">
        <w:rPr>
          <w:sz w:val="22"/>
          <w:szCs w:val="22"/>
        </w:rPr>
        <w:t>at grades 4 and 12.</w:t>
      </w:r>
    </w:p>
    <w:p w14:paraId="54EB1347" w14:textId="6D96C3F3" w:rsidR="00682870" w:rsidRPr="00605BE7" w:rsidRDefault="00682870" w:rsidP="009B25EB">
      <w:pPr>
        <w:spacing w:after="160"/>
        <w:rPr>
          <w:sz w:val="22"/>
          <w:szCs w:val="22"/>
        </w:rPr>
      </w:pPr>
      <w:r w:rsidRPr="3A656B1C">
        <w:rPr>
          <w:sz w:val="22"/>
          <w:szCs w:val="22"/>
        </w:rPr>
        <w:t xml:space="preserve">Table </w:t>
      </w:r>
      <w:r w:rsidR="004F7950" w:rsidRPr="3A656B1C">
        <w:rPr>
          <w:sz w:val="22"/>
          <w:szCs w:val="22"/>
        </w:rPr>
        <w:t>3</w:t>
      </w:r>
      <w:r w:rsidR="00605BE7" w:rsidRPr="3A656B1C">
        <w:rPr>
          <w:sz w:val="22"/>
          <w:szCs w:val="22"/>
        </w:rPr>
        <w:t xml:space="preserve">.  </w:t>
      </w:r>
      <w:r w:rsidR="004E67D5" w:rsidRPr="3A656B1C">
        <w:rPr>
          <w:sz w:val="22"/>
          <w:szCs w:val="22"/>
        </w:rPr>
        <w:t xml:space="preserve">Bifactor </w:t>
      </w:r>
      <w:r w:rsidR="00F61D07" w:rsidRPr="3A656B1C">
        <w:rPr>
          <w:sz w:val="22"/>
          <w:szCs w:val="22"/>
        </w:rPr>
        <w:t xml:space="preserve">and </w:t>
      </w:r>
      <w:r w:rsidR="2D6E1649" w:rsidRPr="3A656B1C">
        <w:rPr>
          <w:sz w:val="22"/>
          <w:szCs w:val="22"/>
        </w:rPr>
        <w:t>u</w:t>
      </w:r>
      <w:r w:rsidR="00F61D07" w:rsidRPr="3A656B1C">
        <w:rPr>
          <w:sz w:val="22"/>
          <w:szCs w:val="22"/>
        </w:rPr>
        <w:t>nidimensional</w:t>
      </w:r>
      <w:r w:rsidR="00C93FCA" w:rsidRPr="3A656B1C">
        <w:rPr>
          <w:sz w:val="22"/>
          <w:szCs w:val="22"/>
        </w:rPr>
        <w:t xml:space="preserve"> loading </w:t>
      </w:r>
      <w:r w:rsidR="004E67D5" w:rsidRPr="3A656B1C">
        <w:rPr>
          <w:sz w:val="22"/>
          <w:szCs w:val="22"/>
        </w:rPr>
        <w:t xml:space="preserve">results </w:t>
      </w:r>
      <w:r w:rsidRPr="3A656B1C">
        <w:rPr>
          <w:sz w:val="22"/>
          <w:szCs w:val="22"/>
        </w:rPr>
        <w:t xml:space="preserve">for SBT items in grade 8 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828"/>
        <w:gridCol w:w="641"/>
        <w:gridCol w:w="2297"/>
        <w:gridCol w:w="294"/>
        <w:gridCol w:w="931"/>
        <w:gridCol w:w="607"/>
        <w:gridCol w:w="931"/>
        <w:gridCol w:w="607"/>
        <w:gridCol w:w="1026"/>
        <w:gridCol w:w="838"/>
      </w:tblGrid>
      <w:tr w:rsidR="006904CE" w:rsidRPr="00030458" w14:paraId="471CCA0C" w14:textId="77777777" w:rsidTr="00647BA3">
        <w:trPr>
          <w:trHeight w:val="511"/>
        </w:trPr>
        <w:tc>
          <w:tcPr>
            <w:tcW w:w="8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BBF1F7" w14:textId="77777777" w:rsidR="006904CE" w:rsidRPr="00030458" w:rsidRDefault="006904CE" w:rsidP="006125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030458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3E87B9" w14:textId="77777777" w:rsidR="006904CE" w:rsidRPr="00030458" w:rsidRDefault="006904CE" w:rsidP="006125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030458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E96267" w14:textId="224F6237" w:rsidR="006904CE" w:rsidRPr="00030458" w:rsidRDefault="006904CE" w:rsidP="00B716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EAFA" w14:textId="77777777" w:rsidR="006904CE" w:rsidRPr="00030458" w:rsidRDefault="006904CE" w:rsidP="00B716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50F34ACB" w14:textId="77777777" w:rsidR="006904CE" w:rsidRPr="00030458" w:rsidRDefault="006904CE" w:rsidP="00B716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030458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Bifactor Model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0891CA6" w14:textId="77777777" w:rsidR="006904CE" w:rsidRPr="00030458" w:rsidRDefault="006904CE" w:rsidP="00B716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030458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Unidimensional model</w:t>
            </w:r>
          </w:p>
        </w:tc>
      </w:tr>
      <w:tr w:rsidR="006904CE" w:rsidRPr="00030458" w14:paraId="453F2677" w14:textId="77777777" w:rsidTr="00647BA3">
        <w:trPr>
          <w:trHeight w:val="64"/>
        </w:trPr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FB9D" w14:textId="77777777" w:rsidR="006904CE" w:rsidRPr="00030458" w:rsidRDefault="006904CE" w:rsidP="006125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73ED" w14:textId="77777777" w:rsidR="006904CE" w:rsidRPr="00030458" w:rsidRDefault="006904CE" w:rsidP="006125E6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14:paraId="65402649" w14:textId="77777777" w:rsidR="006904CE" w:rsidRPr="00030458" w:rsidRDefault="006904CE" w:rsidP="00B716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9A87" w14:textId="77777777" w:rsidR="006904CE" w:rsidRPr="00030458" w:rsidRDefault="006904CE" w:rsidP="00B716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2F58" w14:textId="77777777" w:rsidR="006904CE" w:rsidRPr="00030458" w:rsidRDefault="006904CE" w:rsidP="00B716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030458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General factor</w:t>
            </w:r>
          </w:p>
        </w:tc>
        <w:tc>
          <w:tcPr>
            <w:tcW w:w="153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17F0" w14:textId="77777777" w:rsidR="006904CE" w:rsidRPr="00030458" w:rsidRDefault="006904CE" w:rsidP="00B716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030458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Specific factor</w:t>
            </w:r>
          </w:p>
        </w:tc>
        <w:tc>
          <w:tcPr>
            <w:tcW w:w="1864" w:type="dxa"/>
            <w:gridSpan w:val="2"/>
            <w:vMerge/>
            <w:noWrap/>
            <w:vAlign w:val="center"/>
            <w:hideMark/>
          </w:tcPr>
          <w:p w14:paraId="572F1B82" w14:textId="77777777" w:rsidR="006904CE" w:rsidRPr="00030458" w:rsidRDefault="006904CE" w:rsidP="00B716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</w:p>
        </w:tc>
      </w:tr>
      <w:tr w:rsidR="006904CE" w:rsidRPr="00030458" w14:paraId="2FA0271E" w14:textId="77777777" w:rsidTr="00647BA3">
        <w:trPr>
          <w:trHeight w:val="57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36DB6" w14:textId="77777777" w:rsidR="006904CE" w:rsidRPr="00030458" w:rsidRDefault="006904CE" w:rsidP="006125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030458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HHOT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4A7B9" w14:textId="7A43259D" w:rsidR="006904CE" w:rsidRPr="00030458" w:rsidRDefault="006904CE" w:rsidP="006125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030458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Item</w:t>
            </w: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14:paraId="74233E6B" w14:textId="1F3C6C44" w:rsidR="006904CE" w:rsidRPr="00030458" w:rsidRDefault="00DC0D4E" w:rsidP="006125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% change of loading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8363" w14:textId="77777777" w:rsidR="006904CE" w:rsidRPr="00030458" w:rsidRDefault="006904CE" w:rsidP="006125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331D3" w14:textId="77777777" w:rsidR="006904CE" w:rsidRPr="00030458" w:rsidRDefault="006904CE" w:rsidP="006125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030458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Loading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B42B8" w14:textId="77777777" w:rsidR="006904CE" w:rsidRPr="00030458" w:rsidRDefault="006904CE" w:rsidP="006125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030458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SE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B693C" w14:textId="77777777" w:rsidR="006904CE" w:rsidRPr="00030458" w:rsidRDefault="006904CE" w:rsidP="006125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030458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Loading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0D4D9" w14:textId="77777777" w:rsidR="006904CE" w:rsidRPr="00030458" w:rsidRDefault="006904CE" w:rsidP="006125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030458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SE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26F8F" w14:textId="77777777" w:rsidR="006904CE" w:rsidRPr="00030458" w:rsidRDefault="006904CE" w:rsidP="006125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030458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Loading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E9BE9" w14:textId="77777777" w:rsidR="006904CE" w:rsidRPr="00030458" w:rsidRDefault="006904CE" w:rsidP="00321D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030458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SE</w:t>
            </w:r>
          </w:p>
        </w:tc>
      </w:tr>
      <w:tr w:rsidR="006125E6" w:rsidRPr="00605BE7" w14:paraId="61C56DF1" w14:textId="77777777" w:rsidTr="00647BA3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6BE9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A475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FC0B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-0.50%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D5D1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5FA8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A63B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E9C5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F739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F238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FDC7" w14:textId="77777777" w:rsidR="006125E6" w:rsidRPr="00605BE7" w:rsidRDefault="006125E6" w:rsidP="00321DA3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0.04</w:t>
            </w:r>
          </w:p>
        </w:tc>
      </w:tr>
      <w:tr w:rsidR="006125E6" w:rsidRPr="00605BE7" w14:paraId="277EB1EE" w14:textId="77777777" w:rsidTr="00647BA3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AEA9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69C1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DB5E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8.42%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7F36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2131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4830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4F27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4C5B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19F2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3F6A" w14:textId="77777777" w:rsidR="006125E6" w:rsidRPr="00605BE7" w:rsidRDefault="006125E6" w:rsidP="00321DA3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0.05</w:t>
            </w:r>
          </w:p>
        </w:tc>
      </w:tr>
      <w:tr w:rsidR="006125E6" w:rsidRPr="00605BE7" w14:paraId="6FCD846A" w14:textId="77777777" w:rsidTr="00647BA3">
        <w:trPr>
          <w:trHeight w:val="288"/>
        </w:trPr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CAEE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F3A3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92A0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-11.26%</w:t>
            </w: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D8DF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A732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0E3E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3BB6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9121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7AEC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AB10" w14:textId="77777777" w:rsidR="006125E6" w:rsidRPr="00605BE7" w:rsidRDefault="006125E6" w:rsidP="00321DA3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0.04</w:t>
            </w:r>
          </w:p>
        </w:tc>
      </w:tr>
      <w:tr w:rsidR="006125E6" w:rsidRPr="00605BE7" w14:paraId="13BC038B" w14:textId="77777777" w:rsidTr="00647BA3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DBD3C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181D6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EBCD1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-6.56%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E821B" w14:textId="77777777" w:rsidR="006125E6" w:rsidRPr="00605BE7" w:rsidRDefault="006125E6" w:rsidP="006161D3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21A06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D5EAD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5EE7D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AEA81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34070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BF6E9" w14:textId="77777777" w:rsidR="006125E6" w:rsidRPr="00605BE7" w:rsidRDefault="006125E6" w:rsidP="00321DA3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0.05</w:t>
            </w:r>
          </w:p>
        </w:tc>
      </w:tr>
      <w:tr w:rsidR="006125E6" w:rsidRPr="00605BE7" w14:paraId="0154DD5A" w14:textId="77777777" w:rsidTr="00647BA3">
        <w:trPr>
          <w:trHeight w:val="288"/>
        </w:trPr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9622" w14:textId="77777777" w:rsidR="006125E6" w:rsidRPr="00030458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030458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ICT 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5763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6448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-50.40%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E69C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E14F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909C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5C5C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E4EE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3814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4B40" w14:textId="77777777" w:rsidR="006125E6" w:rsidRPr="00605BE7" w:rsidRDefault="006125E6" w:rsidP="00321DA3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0.05</w:t>
            </w:r>
          </w:p>
        </w:tc>
      </w:tr>
      <w:tr w:rsidR="006125E6" w:rsidRPr="00605BE7" w14:paraId="0BFB409E" w14:textId="77777777" w:rsidTr="00647BA3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65FE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7FC3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53E9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-41.88%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01BD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7F4F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2.09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D6C4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C13F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3.38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4F86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A605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B54D" w14:textId="77777777" w:rsidR="006125E6" w:rsidRPr="00605BE7" w:rsidRDefault="006125E6" w:rsidP="00321DA3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0.06</w:t>
            </w:r>
          </w:p>
        </w:tc>
      </w:tr>
      <w:tr w:rsidR="006125E6" w:rsidRPr="00605BE7" w14:paraId="59B1AAA0" w14:textId="77777777" w:rsidTr="00647BA3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9842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F1EC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AB52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-0.43%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58AA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1D25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CE6F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68CB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FFF3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DCB3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AD8C" w14:textId="77777777" w:rsidR="006125E6" w:rsidRPr="00605BE7" w:rsidRDefault="006125E6" w:rsidP="00321DA3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0.05</w:t>
            </w:r>
          </w:p>
        </w:tc>
      </w:tr>
      <w:tr w:rsidR="006125E6" w:rsidRPr="00605BE7" w14:paraId="3DA191BA" w14:textId="77777777" w:rsidTr="00647BA3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A301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1FE6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9FC8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4.19%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A4B5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80B4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6822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CC06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DCC4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3C31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20B5" w14:textId="77777777" w:rsidR="006125E6" w:rsidRPr="00605BE7" w:rsidRDefault="006125E6" w:rsidP="00321DA3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0.07</w:t>
            </w:r>
          </w:p>
        </w:tc>
      </w:tr>
      <w:tr w:rsidR="006125E6" w:rsidRPr="00605BE7" w14:paraId="59D876E9" w14:textId="77777777" w:rsidTr="00647BA3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5B77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EEB2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1648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2.46%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860B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558C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B7F2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A1D2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C623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062E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E7E7" w14:textId="77777777" w:rsidR="006125E6" w:rsidRPr="00605BE7" w:rsidRDefault="006125E6" w:rsidP="00321DA3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0.03</w:t>
            </w:r>
          </w:p>
        </w:tc>
      </w:tr>
      <w:tr w:rsidR="006125E6" w:rsidRPr="00605BE7" w14:paraId="624D1EE1" w14:textId="77777777" w:rsidTr="00647BA3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BB5C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95C7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FFF0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-5.27%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4B6A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084F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A0A1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29D6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DF90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9BEF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0D24" w14:textId="77777777" w:rsidR="006125E6" w:rsidRPr="00605BE7" w:rsidRDefault="006125E6" w:rsidP="00321DA3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0.03</w:t>
            </w:r>
          </w:p>
        </w:tc>
      </w:tr>
      <w:tr w:rsidR="006125E6" w:rsidRPr="00605BE7" w14:paraId="682AEF4D" w14:textId="77777777" w:rsidTr="00647BA3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80DE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AA66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FE85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-1.53%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0AA2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CC49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C16C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08DA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6B03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276F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A2E5" w14:textId="77777777" w:rsidR="006125E6" w:rsidRPr="00605BE7" w:rsidRDefault="006125E6" w:rsidP="00321DA3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0.05</w:t>
            </w:r>
          </w:p>
        </w:tc>
      </w:tr>
      <w:tr w:rsidR="006125E6" w:rsidRPr="00605BE7" w14:paraId="79997163" w14:textId="77777777" w:rsidTr="00647BA3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3B15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73DC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B9F4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1.48%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A938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B28B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593C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2B5C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5D15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E7CA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FF35" w14:textId="77777777" w:rsidR="006125E6" w:rsidRPr="00605BE7" w:rsidRDefault="006125E6" w:rsidP="00321DA3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0.04</w:t>
            </w:r>
          </w:p>
        </w:tc>
      </w:tr>
      <w:tr w:rsidR="006125E6" w:rsidRPr="00605BE7" w14:paraId="009AC201" w14:textId="77777777" w:rsidTr="00647BA3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DAB4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E90F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AABC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9.12%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B04F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A185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1520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541B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545E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7BB6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956A" w14:textId="77777777" w:rsidR="006125E6" w:rsidRPr="00605BE7" w:rsidRDefault="006125E6" w:rsidP="00321DA3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0.05</w:t>
            </w:r>
          </w:p>
        </w:tc>
      </w:tr>
      <w:tr w:rsidR="006125E6" w:rsidRPr="00605BE7" w14:paraId="6BF4027A" w14:textId="77777777" w:rsidTr="00647BA3">
        <w:trPr>
          <w:trHeight w:val="288"/>
        </w:trPr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4035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12A9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C7CB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2.26%</w:t>
            </w: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8DE4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20D1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EC95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F73C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69E0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8F3E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0156" w14:textId="77777777" w:rsidR="006125E6" w:rsidRPr="00605BE7" w:rsidRDefault="006125E6" w:rsidP="00321DA3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0.04</w:t>
            </w:r>
          </w:p>
        </w:tc>
      </w:tr>
      <w:tr w:rsidR="006125E6" w:rsidRPr="00605BE7" w14:paraId="6C09EE95" w14:textId="77777777" w:rsidTr="00647BA3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FF20B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53CE0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D5603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-3.81%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975A7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342DD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8DECB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7E8A9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59034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A21E9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3CDC6" w14:textId="77777777" w:rsidR="006125E6" w:rsidRPr="00605BE7" w:rsidRDefault="006125E6" w:rsidP="00321DA3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0.06</w:t>
            </w:r>
          </w:p>
        </w:tc>
      </w:tr>
      <w:tr w:rsidR="006125E6" w:rsidRPr="00605BE7" w14:paraId="4F0DB4FB" w14:textId="77777777" w:rsidTr="00647BA3">
        <w:trPr>
          <w:trHeight w:val="288"/>
        </w:trPr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B92C" w14:textId="77777777" w:rsidR="006125E6" w:rsidRPr="00030458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030458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ICT 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AE50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3165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-11.01%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ACC2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69BD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5AA4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1D64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8109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0BEA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DB16" w14:textId="77777777" w:rsidR="006125E6" w:rsidRPr="00605BE7" w:rsidRDefault="006125E6" w:rsidP="00A902C2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0.03</w:t>
            </w:r>
          </w:p>
        </w:tc>
      </w:tr>
      <w:tr w:rsidR="006125E6" w:rsidRPr="00605BE7" w14:paraId="7F88F19D" w14:textId="77777777" w:rsidTr="00647BA3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E0CA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9CE4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CC2B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-30.20%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527B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0FC0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1524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B822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B0B8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3772" w14:textId="77777777" w:rsidR="006125E6" w:rsidRPr="00605BE7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D786" w14:textId="77777777" w:rsidR="006125E6" w:rsidRPr="00605BE7" w:rsidRDefault="006125E6" w:rsidP="00A902C2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05BE7">
              <w:rPr>
                <w:rFonts w:eastAsia="Times New Roman" w:cstheme="minorHAnsi"/>
                <w:color w:val="000000"/>
                <w:sz w:val="22"/>
                <w:szCs w:val="22"/>
              </w:rPr>
              <w:t>0.04</w:t>
            </w:r>
          </w:p>
        </w:tc>
      </w:tr>
      <w:tr w:rsidR="006125E6" w:rsidRPr="007901EE" w14:paraId="26D5C464" w14:textId="77777777" w:rsidTr="00647BA3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0E3E" w14:textId="77777777" w:rsidR="006125E6" w:rsidRPr="00FE2FBD" w:rsidRDefault="006125E6" w:rsidP="006125E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4440" w14:textId="77777777" w:rsidR="006125E6" w:rsidRPr="007901EE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</w:rPr>
            </w:pPr>
            <w:r w:rsidRPr="007901EE">
              <w:rPr>
                <w:rFonts w:eastAsia="Times New Roman" w:cstheme="minorHAnsi"/>
                <w:color w:val="000000"/>
                <w:sz w:val="22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4262" w14:textId="77777777" w:rsidR="006125E6" w:rsidRPr="007901EE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</w:rPr>
            </w:pPr>
            <w:r w:rsidRPr="007901EE">
              <w:rPr>
                <w:rFonts w:eastAsia="Times New Roman" w:cstheme="minorHAnsi"/>
                <w:color w:val="000000"/>
                <w:sz w:val="22"/>
              </w:rPr>
              <w:t>-4.57%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A29C" w14:textId="77777777" w:rsidR="006125E6" w:rsidRPr="007901EE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21ED" w14:textId="77777777" w:rsidR="006125E6" w:rsidRPr="007901EE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</w:rPr>
            </w:pPr>
            <w:r w:rsidRPr="007901EE">
              <w:rPr>
                <w:rFonts w:eastAsia="Times New Roman" w:cstheme="minorHAnsi"/>
                <w:color w:val="000000"/>
                <w:sz w:val="22"/>
              </w:rPr>
              <w:t>0.79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4043" w14:textId="77777777" w:rsidR="006125E6" w:rsidRPr="007901EE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</w:rPr>
            </w:pPr>
            <w:r w:rsidRPr="007901EE">
              <w:rPr>
                <w:rFonts w:eastAsia="Times New Roman" w:cstheme="minorHAnsi"/>
                <w:color w:val="000000"/>
                <w:sz w:val="22"/>
              </w:rPr>
              <w:t>0.05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28E6" w14:textId="77777777" w:rsidR="006125E6" w:rsidRPr="007901EE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</w:rPr>
            </w:pPr>
            <w:r w:rsidRPr="007901EE">
              <w:rPr>
                <w:rFonts w:eastAsia="Times New Roman" w:cstheme="minorHAnsi"/>
                <w:color w:val="000000"/>
                <w:sz w:val="22"/>
              </w:rPr>
              <w:t>-0.06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E23C" w14:textId="77777777" w:rsidR="006125E6" w:rsidRPr="007901EE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</w:rPr>
            </w:pPr>
            <w:r w:rsidRPr="007901EE">
              <w:rPr>
                <w:rFonts w:eastAsia="Times New Roman" w:cstheme="minorHAnsi"/>
                <w:color w:val="000000"/>
                <w:sz w:val="22"/>
              </w:rPr>
              <w:t>0.05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FA2E" w14:textId="77777777" w:rsidR="006125E6" w:rsidRPr="007901EE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</w:rPr>
            </w:pPr>
            <w:r w:rsidRPr="007901EE">
              <w:rPr>
                <w:rFonts w:eastAsia="Times New Roman" w:cstheme="minorHAnsi"/>
                <w:color w:val="000000"/>
                <w:sz w:val="22"/>
              </w:rPr>
              <w:t>0.75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7D25" w14:textId="77777777" w:rsidR="006125E6" w:rsidRPr="007901EE" w:rsidRDefault="006125E6" w:rsidP="00A902C2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</w:rPr>
            </w:pPr>
            <w:r w:rsidRPr="007901EE">
              <w:rPr>
                <w:rFonts w:eastAsia="Times New Roman" w:cstheme="minorHAnsi"/>
                <w:color w:val="000000"/>
                <w:sz w:val="22"/>
              </w:rPr>
              <w:t>0.04</w:t>
            </w:r>
          </w:p>
        </w:tc>
      </w:tr>
      <w:tr w:rsidR="006125E6" w:rsidRPr="006125E6" w14:paraId="02AE9AB7" w14:textId="77777777" w:rsidTr="00647BA3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02E5" w14:textId="77777777" w:rsidR="006125E6" w:rsidRPr="00FE2FBD" w:rsidRDefault="006125E6" w:rsidP="006125E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11D7" w14:textId="77777777" w:rsidR="006125E6" w:rsidRPr="00FB6695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</w:rPr>
            </w:pPr>
            <w:r w:rsidRPr="00FB6695">
              <w:rPr>
                <w:rFonts w:eastAsia="Times New Roman" w:cstheme="minorHAnsi"/>
                <w:color w:val="000000"/>
                <w:sz w:val="22"/>
              </w:rPr>
              <w:t>4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2851" w14:textId="77777777" w:rsidR="006125E6" w:rsidRPr="00FB6695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</w:rPr>
            </w:pPr>
            <w:r w:rsidRPr="00FB6695">
              <w:rPr>
                <w:rFonts w:eastAsia="Times New Roman" w:cstheme="minorHAnsi"/>
                <w:color w:val="000000"/>
                <w:sz w:val="22"/>
              </w:rPr>
              <w:t>-1.73%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82A5" w14:textId="77777777" w:rsidR="006125E6" w:rsidRPr="00FB6695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B7E6" w14:textId="77777777" w:rsidR="006125E6" w:rsidRPr="00FB6695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</w:rPr>
            </w:pPr>
            <w:r w:rsidRPr="00FB6695">
              <w:rPr>
                <w:rFonts w:eastAsia="Times New Roman" w:cstheme="minorHAnsi"/>
                <w:color w:val="000000"/>
                <w:sz w:val="22"/>
              </w:rPr>
              <w:t>0.65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E917" w14:textId="77777777" w:rsidR="006125E6" w:rsidRPr="00FB6695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</w:rPr>
            </w:pPr>
            <w:r w:rsidRPr="00FB6695">
              <w:rPr>
                <w:rFonts w:eastAsia="Times New Roman" w:cstheme="minorHAnsi"/>
                <w:color w:val="000000"/>
                <w:sz w:val="22"/>
              </w:rPr>
              <w:t>0.04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FEFC" w14:textId="77777777" w:rsidR="006125E6" w:rsidRPr="00FB6695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</w:rPr>
            </w:pPr>
            <w:r w:rsidRPr="00FB6695">
              <w:rPr>
                <w:rFonts w:eastAsia="Times New Roman" w:cstheme="minorHAnsi"/>
                <w:color w:val="000000"/>
                <w:sz w:val="22"/>
              </w:rPr>
              <w:t>0.06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C50A" w14:textId="77777777" w:rsidR="006125E6" w:rsidRPr="00FB6695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</w:rPr>
            </w:pPr>
            <w:r w:rsidRPr="00FB6695">
              <w:rPr>
                <w:rFonts w:eastAsia="Times New Roman" w:cstheme="minorHAnsi"/>
                <w:color w:val="000000"/>
                <w:sz w:val="22"/>
              </w:rPr>
              <w:t>0.04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F305" w14:textId="77777777" w:rsidR="006125E6" w:rsidRPr="00FB6695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</w:rPr>
            </w:pPr>
            <w:r w:rsidRPr="00FB6695">
              <w:rPr>
                <w:rFonts w:eastAsia="Times New Roman" w:cstheme="minorHAnsi"/>
                <w:color w:val="000000"/>
                <w:sz w:val="22"/>
              </w:rPr>
              <w:t>0.64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BDE3" w14:textId="77777777" w:rsidR="006125E6" w:rsidRPr="00FB6695" w:rsidRDefault="006125E6" w:rsidP="00A902C2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</w:rPr>
            </w:pPr>
            <w:r w:rsidRPr="00FB6695">
              <w:rPr>
                <w:rFonts w:eastAsia="Times New Roman" w:cstheme="minorHAnsi"/>
                <w:color w:val="000000"/>
                <w:sz w:val="22"/>
              </w:rPr>
              <w:t>0.03</w:t>
            </w:r>
          </w:p>
        </w:tc>
      </w:tr>
      <w:tr w:rsidR="006125E6" w:rsidRPr="006125E6" w14:paraId="37019E4F" w14:textId="77777777" w:rsidTr="00647BA3">
        <w:trPr>
          <w:trHeight w:val="288"/>
        </w:trPr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0B82" w14:textId="77777777" w:rsidR="006125E6" w:rsidRPr="00FE2FBD" w:rsidRDefault="006125E6" w:rsidP="006125E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80CD" w14:textId="77777777" w:rsidR="006125E6" w:rsidRPr="00FB6695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</w:rPr>
            </w:pPr>
            <w:r w:rsidRPr="00FB6695">
              <w:rPr>
                <w:rFonts w:eastAsia="Times New Roman" w:cstheme="minorHAnsi"/>
                <w:color w:val="000000"/>
                <w:sz w:val="22"/>
              </w:rPr>
              <w:t>5</w:t>
            </w:r>
          </w:p>
        </w:tc>
        <w:tc>
          <w:tcPr>
            <w:tcW w:w="2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0BB8" w14:textId="77777777" w:rsidR="006125E6" w:rsidRPr="00FB6695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</w:rPr>
            </w:pPr>
            <w:r w:rsidRPr="00FB6695">
              <w:rPr>
                <w:rFonts w:eastAsia="Times New Roman" w:cstheme="minorHAnsi"/>
                <w:color w:val="000000"/>
                <w:sz w:val="22"/>
              </w:rPr>
              <w:t>-2.74%</w:t>
            </w: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641E" w14:textId="77777777" w:rsidR="006125E6" w:rsidRPr="00FB6695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974F" w14:textId="77777777" w:rsidR="006125E6" w:rsidRPr="00FB6695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</w:rPr>
            </w:pPr>
            <w:r w:rsidRPr="00FB6695">
              <w:rPr>
                <w:rFonts w:eastAsia="Times New Roman" w:cstheme="minorHAnsi"/>
                <w:color w:val="000000"/>
                <w:sz w:val="22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8552" w14:textId="77777777" w:rsidR="006125E6" w:rsidRPr="00FB6695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</w:rPr>
            </w:pPr>
            <w:r w:rsidRPr="00FB6695">
              <w:rPr>
                <w:rFonts w:eastAsia="Times New Roman" w:cstheme="minorHAnsi"/>
                <w:color w:val="000000"/>
                <w:sz w:val="22"/>
              </w:rPr>
              <w:t>0.05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6989" w14:textId="77777777" w:rsidR="006125E6" w:rsidRPr="00FB6695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</w:rPr>
            </w:pPr>
            <w:r w:rsidRPr="00FB6695">
              <w:rPr>
                <w:rFonts w:eastAsia="Times New Roman" w:cstheme="minorHAnsi"/>
                <w:color w:val="000000"/>
                <w:sz w:val="22"/>
              </w:rPr>
              <w:t>0.01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A94E" w14:textId="77777777" w:rsidR="006125E6" w:rsidRPr="00FB6695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</w:rPr>
            </w:pPr>
            <w:r w:rsidRPr="00FB6695">
              <w:rPr>
                <w:rFonts w:eastAsia="Times New Roman" w:cstheme="minorHAnsi"/>
                <w:color w:val="000000"/>
                <w:sz w:val="22"/>
              </w:rPr>
              <w:t>0.04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C49E" w14:textId="77777777" w:rsidR="006125E6" w:rsidRPr="00FB6695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</w:rPr>
            </w:pPr>
            <w:r w:rsidRPr="00FB6695">
              <w:rPr>
                <w:rFonts w:eastAsia="Times New Roman" w:cstheme="minorHAnsi"/>
                <w:color w:val="000000"/>
                <w:sz w:val="22"/>
              </w:rPr>
              <w:t>0.97</w:t>
            </w: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AC7A" w14:textId="77777777" w:rsidR="006125E6" w:rsidRPr="00FB6695" w:rsidRDefault="006125E6" w:rsidP="00A902C2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</w:rPr>
            </w:pPr>
            <w:r w:rsidRPr="00FB6695">
              <w:rPr>
                <w:rFonts w:eastAsia="Times New Roman" w:cstheme="minorHAnsi"/>
                <w:color w:val="000000"/>
                <w:sz w:val="22"/>
              </w:rPr>
              <w:t>0.05</w:t>
            </w:r>
          </w:p>
        </w:tc>
      </w:tr>
      <w:tr w:rsidR="006125E6" w:rsidRPr="006125E6" w14:paraId="49ED0736" w14:textId="77777777" w:rsidTr="00647BA3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31C4F" w14:textId="77777777" w:rsidR="006125E6" w:rsidRPr="00FE2FBD" w:rsidRDefault="006125E6" w:rsidP="006125E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</w:rPr>
            </w:pPr>
            <w:r w:rsidRPr="00FE2FBD">
              <w:rPr>
                <w:rFonts w:ascii="Garamond" w:eastAsia="Times New Roman" w:hAnsi="Garamond" w:cs="Calibri"/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1D3D8" w14:textId="77777777" w:rsidR="006125E6" w:rsidRPr="00FB6695" w:rsidRDefault="50C35E1C" w:rsidP="3A656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</w:rPr>
            </w:pPr>
            <w:r w:rsidRPr="00FB6695">
              <w:rPr>
                <w:rFonts w:eastAsia="Times New Roman" w:cstheme="minorHAnsi"/>
                <w:color w:val="000000" w:themeColor="text1"/>
                <w:sz w:val="22"/>
              </w:rPr>
              <w:t>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8FACE" w14:textId="77777777" w:rsidR="006125E6" w:rsidRPr="00FB6695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</w:rPr>
            </w:pPr>
            <w:r w:rsidRPr="00FB6695">
              <w:rPr>
                <w:rFonts w:eastAsia="Times New Roman" w:cstheme="minorHAnsi"/>
                <w:color w:val="000000"/>
                <w:sz w:val="22"/>
              </w:rPr>
              <w:t>-0.82%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A9BE8" w14:textId="77777777" w:rsidR="006125E6" w:rsidRPr="00FB6695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C02D9" w14:textId="77777777" w:rsidR="006125E6" w:rsidRPr="00FB6695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</w:rPr>
            </w:pPr>
            <w:r w:rsidRPr="00FB6695">
              <w:rPr>
                <w:rFonts w:eastAsia="Times New Roman" w:cstheme="minorHAnsi"/>
                <w:color w:val="000000"/>
                <w:sz w:val="22"/>
              </w:rPr>
              <w:t>1.09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62A81" w14:textId="77777777" w:rsidR="006125E6" w:rsidRPr="00FB6695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</w:rPr>
            </w:pPr>
            <w:r w:rsidRPr="00FB6695">
              <w:rPr>
                <w:rFonts w:eastAsia="Times New Roman" w:cstheme="minorHAnsi"/>
                <w:color w:val="000000"/>
                <w:sz w:val="22"/>
              </w:rPr>
              <w:t>0.05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97175" w14:textId="77777777" w:rsidR="006125E6" w:rsidRPr="00FB6695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</w:rPr>
            </w:pPr>
            <w:r w:rsidRPr="00FB6695">
              <w:rPr>
                <w:rFonts w:eastAsia="Times New Roman" w:cstheme="minorHAnsi"/>
                <w:color w:val="000000"/>
                <w:sz w:val="22"/>
              </w:rPr>
              <w:t>0.32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239C4" w14:textId="77777777" w:rsidR="006125E6" w:rsidRPr="00FB6695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</w:rPr>
            </w:pPr>
            <w:r w:rsidRPr="00FB6695">
              <w:rPr>
                <w:rFonts w:eastAsia="Times New Roman" w:cstheme="minorHAnsi"/>
                <w:color w:val="000000"/>
                <w:sz w:val="22"/>
              </w:rPr>
              <w:t>0.05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F111C" w14:textId="77777777" w:rsidR="006125E6" w:rsidRPr="00FB6695" w:rsidRDefault="006125E6" w:rsidP="006125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</w:rPr>
            </w:pPr>
            <w:r w:rsidRPr="00FB6695">
              <w:rPr>
                <w:rFonts w:eastAsia="Times New Roman" w:cstheme="minorHAnsi"/>
                <w:color w:val="000000"/>
                <w:sz w:val="22"/>
              </w:rPr>
              <w:t>1.08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03138" w14:textId="77777777" w:rsidR="006125E6" w:rsidRPr="00FB6695" w:rsidRDefault="50C35E1C" w:rsidP="00A902C2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</w:rPr>
            </w:pPr>
            <w:r w:rsidRPr="00FB6695">
              <w:rPr>
                <w:rFonts w:eastAsia="Times New Roman" w:cstheme="minorHAnsi"/>
                <w:color w:val="000000" w:themeColor="text1"/>
                <w:sz w:val="22"/>
              </w:rPr>
              <w:t>0.05</w:t>
            </w:r>
          </w:p>
        </w:tc>
      </w:tr>
    </w:tbl>
    <w:p w14:paraId="1C2DE2F4" w14:textId="0179B470" w:rsidR="00682870" w:rsidRPr="00030458" w:rsidRDefault="00283438" w:rsidP="3A656B1C">
      <w:pPr>
        <w:rPr>
          <w:sz w:val="22"/>
          <w:szCs w:val="22"/>
        </w:rPr>
      </w:pPr>
      <w:r w:rsidRPr="3A656B1C">
        <w:rPr>
          <w:sz w:val="22"/>
          <w:szCs w:val="22"/>
        </w:rPr>
        <w:lastRenderedPageBreak/>
        <w:t>To</w:t>
      </w:r>
      <w:r w:rsidR="008537EF" w:rsidRPr="3A656B1C">
        <w:rPr>
          <w:sz w:val="22"/>
          <w:szCs w:val="22"/>
        </w:rPr>
        <w:t xml:space="preserve"> summar</w:t>
      </w:r>
      <w:r w:rsidRPr="3A656B1C">
        <w:rPr>
          <w:sz w:val="22"/>
          <w:szCs w:val="22"/>
        </w:rPr>
        <w:t>ize</w:t>
      </w:r>
      <w:r w:rsidR="008537EF" w:rsidRPr="3A656B1C">
        <w:rPr>
          <w:sz w:val="22"/>
          <w:szCs w:val="22"/>
        </w:rPr>
        <w:t xml:space="preserve">, the bifactor </w:t>
      </w:r>
      <w:r w:rsidR="006F25B6" w:rsidRPr="3A656B1C">
        <w:rPr>
          <w:sz w:val="22"/>
          <w:szCs w:val="22"/>
        </w:rPr>
        <w:t xml:space="preserve">model </w:t>
      </w:r>
      <w:r w:rsidR="00DE50F3" w:rsidRPr="3A656B1C">
        <w:rPr>
          <w:sz w:val="22"/>
          <w:szCs w:val="22"/>
        </w:rPr>
        <w:t xml:space="preserve">resulted in </w:t>
      </w:r>
      <w:r w:rsidR="008537EF" w:rsidRPr="3A656B1C">
        <w:rPr>
          <w:sz w:val="22"/>
          <w:szCs w:val="22"/>
        </w:rPr>
        <w:t xml:space="preserve">slightly better </w:t>
      </w:r>
      <w:r w:rsidR="00DE50F3" w:rsidRPr="3A656B1C">
        <w:rPr>
          <w:sz w:val="22"/>
          <w:szCs w:val="22"/>
        </w:rPr>
        <w:t xml:space="preserve">model </w:t>
      </w:r>
      <w:r w:rsidR="008537EF" w:rsidRPr="3A656B1C">
        <w:rPr>
          <w:sz w:val="22"/>
          <w:szCs w:val="22"/>
        </w:rPr>
        <w:t xml:space="preserve">fit </w:t>
      </w:r>
      <w:r w:rsidR="006F25B6" w:rsidRPr="3A656B1C">
        <w:rPr>
          <w:sz w:val="22"/>
          <w:szCs w:val="22"/>
        </w:rPr>
        <w:t xml:space="preserve">than the unidimensional model </w:t>
      </w:r>
      <w:r w:rsidR="008537EF" w:rsidRPr="3A656B1C">
        <w:rPr>
          <w:sz w:val="22"/>
          <w:szCs w:val="22"/>
        </w:rPr>
        <w:t xml:space="preserve">at all three grades. In addition, there is </w:t>
      </w:r>
      <w:r w:rsidR="00682870" w:rsidRPr="3A656B1C">
        <w:rPr>
          <w:sz w:val="22"/>
          <w:szCs w:val="22"/>
        </w:rPr>
        <w:t>evidence of a potential testlet effect for the HHOT at grade 8</w:t>
      </w:r>
      <w:r w:rsidR="008537EF" w:rsidRPr="3A656B1C">
        <w:rPr>
          <w:sz w:val="22"/>
          <w:szCs w:val="22"/>
        </w:rPr>
        <w:t>.</w:t>
      </w:r>
      <w:r w:rsidRPr="3A656B1C">
        <w:rPr>
          <w:sz w:val="22"/>
          <w:szCs w:val="22"/>
        </w:rPr>
        <w:t xml:space="preserve"> Overall,</w:t>
      </w:r>
      <w:r w:rsidR="00682870" w:rsidRPr="3A656B1C">
        <w:rPr>
          <w:sz w:val="22"/>
          <w:szCs w:val="22"/>
        </w:rPr>
        <w:t xml:space="preserve"> the</w:t>
      </w:r>
      <w:r w:rsidR="000A7E39" w:rsidRPr="3A656B1C">
        <w:rPr>
          <w:sz w:val="22"/>
          <w:szCs w:val="22"/>
        </w:rPr>
        <w:t xml:space="preserve"> more parsimonious</w:t>
      </w:r>
      <w:r w:rsidR="00682870" w:rsidRPr="3A656B1C">
        <w:rPr>
          <w:sz w:val="22"/>
          <w:szCs w:val="22"/>
        </w:rPr>
        <w:t>, unidimensional model is preferred</w:t>
      </w:r>
      <w:r w:rsidR="1FDEE296" w:rsidRPr="3A656B1C">
        <w:rPr>
          <w:sz w:val="22"/>
          <w:szCs w:val="22"/>
        </w:rPr>
        <w:t>,</w:t>
      </w:r>
      <w:r w:rsidR="00682870" w:rsidRPr="3A656B1C">
        <w:rPr>
          <w:sz w:val="22"/>
          <w:szCs w:val="22"/>
        </w:rPr>
        <w:t xml:space="preserve"> given that for the most part, little difference</w:t>
      </w:r>
      <w:r w:rsidRPr="3A656B1C">
        <w:rPr>
          <w:sz w:val="22"/>
          <w:szCs w:val="22"/>
        </w:rPr>
        <w:t xml:space="preserve"> was observed</w:t>
      </w:r>
      <w:r w:rsidR="00682870" w:rsidRPr="3A656B1C">
        <w:rPr>
          <w:sz w:val="22"/>
          <w:szCs w:val="22"/>
        </w:rPr>
        <w:t xml:space="preserve"> in </w:t>
      </w:r>
      <w:r w:rsidR="00F24A12" w:rsidRPr="3A656B1C">
        <w:rPr>
          <w:sz w:val="22"/>
          <w:szCs w:val="22"/>
        </w:rPr>
        <w:t xml:space="preserve">the </w:t>
      </w:r>
      <w:r w:rsidR="00582588" w:rsidRPr="3A656B1C">
        <w:rPr>
          <w:sz w:val="22"/>
          <w:szCs w:val="22"/>
        </w:rPr>
        <w:t>loading</w:t>
      </w:r>
      <w:r w:rsidR="00682870" w:rsidRPr="3A656B1C">
        <w:rPr>
          <w:sz w:val="22"/>
          <w:szCs w:val="22"/>
        </w:rPr>
        <w:t xml:space="preserve"> estimates for </w:t>
      </w:r>
      <w:r w:rsidR="005847A4" w:rsidRPr="3A656B1C">
        <w:rPr>
          <w:sz w:val="22"/>
          <w:szCs w:val="22"/>
        </w:rPr>
        <w:t xml:space="preserve">the </w:t>
      </w:r>
      <w:r w:rsidR="00682870" w:rsidRPr="3A656B1C">
        <w:rPr>
          <w:sz w:val="22"/>
          <w:szCs w:val="22"/>
        </w:rPr>
        <w:t xml:space="preserve">SBT items between the bifactor and unidimensional models.  </w:t>
      </w:r>
    </w:p>
    <w:p w14:paraId="27687C17" w14:textId="77777777" w:rsidR="00682870" w:rsidRDefault="00682870" w:rsidP="00682870">
      <w:pPr>
        <w:rPr>
          <w:rFonts w:ascii="Garamond" w:hAnsi="Garamond"/>
          <w:sz w:val="23"/>
          <w:szCs w:val="23"/>
          <w:u w:val="single"/>
        </w:rPr>
      </w:pPr>
    </w:p>
    <w:p w14:paraId="6E6D42D6" w14:textId="587004E6" w:rsidR="00682870" w:rsidRPr="000153EB" w:rsidRDefault="00682870" w:rsidP="00682870">
      <w:pPr>
        <w:rPr>
          <w:rFonts w:asciiTheme="majorHAnsi" w:hAnsiTheme="majorHAnsi" w:cstheme="majorHAnsi"/>
          <w:b/>
          <w:sz w:val="31"/>
          <w:szCs w:val="31"/>
        </w:rPr>
      </w:pPr>
      <w:r w:rsidRPr="000153EB">
        <w:rPr>
          <w:rFonts w:asciiTheme="majorHAnsi" w:hAnsiTheme="majorHAnsi" w:cstheme="majorHAnsi"/>
          <w:b/>
          <w:sz w:val="31"/>
          <w:szCs w:val="31"/>
        </w:rPr>
        <w:t xml:space="preserve">Impact </w:t>
      </w:r>
      <w:r w:rsidR="005847A4" w:rsidRPr="000153EB">
        <w:rPr>
          <w:rFonts w:asciiTheme="majorHAnsi" w:hAnsiTheme="majorHAnsi" w:cstheme="majorHAnsi"/>
          <w:b/>
          <w:sz w:val="31"/>
          <w:szCs w:val="31"/>
        </w:rPr>
        <w:t xml:space="preserve">analysis </w:t>
      </w:r>
      <w:r w:rsidRPr="000153EB">
        <w:rPr>
          <w:rFonts w:asciiTheme="majorHAnsi" w:hAnsiTheme="majorHAnsi" w:cstheme="majorHAnsi"/>
          <w:b/>
          <w:sz w:val="31"/>
          <w:szCs w:val="31"/>
        </w:rPr>
        <w:t xml:space="preserve">on </w:t>
      </w:r>
      <w:r w:rsidR="00BF0450">
        <w:rPr>
          <w:rFonts w:asciiTheme="majorHAnsi" w:hAnsiTheme="majorHAnsi" w:cstheme="majorHAnsi"/>
          <w:b/>
          <w:sz w:val="31"/>
          <w:szCs w:val="31"/>
        </w:rPr>
        <w:t xml:space="preserve">student </w:t>
      </w:r>
      <w:r w:rsidRPr="000153EB">
        <w:rPr>
          <w:rFonts w:asciiTheme="majorHAnsi" w:hAnsiTheme="majorHAnsi" w:cstheme="majorHAnsi"/>
          <w:b/>
          <w:sz w:val="31"/>
          <w:szCs w:val="31"/>
        </w:rPr>
        <w:t>group scale scores</w:t>
      </w:r>
    </w:p>
    <w:p w14:paraId="70AA0CB1" w14:textId="526EFAE6" w:rsidR="00682870" w:rsidRPr="000153EB" w:rsidRDefault="00BF0450" w:rsidP="3A656B1C">
      <w:pPr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F24A12" w:rsidRPr="4C34B60F">
        <w:rPr>
          <w:sz w:val="22"/>
          <w:szCs w:val="22"/>
        </w:rPr>
        <w:t xml:space="preserve">group results are a key part of NAEP’s reporting, serving a vital role in informing educational </w:t>
      </w:r>
      <w:r w:rsidR="4B35ECDE" w:rsidRPr="4C34B60F">
        <w:rPr>
          <w:sz w:val="22"/>
          <w:szCs w:val="22"/>
        </w:rPr>
        <w:t>policymakers</w:t>
      </w:r>
      <w:r w:rsidR="00F24A12" w:rsidRPr="4C34B60F">
        <w:rPr>
          <w:sz w:val="22"/>
          <w:szCs w:val="22"/>
        </w:rPr>
        <w:t>.</w:t>
      </w:r>
      <w:r w:rsidR="00117283" w:rsidRPr="4C34B60F">
        <w:rPr>
          <w:sz w:val="22"/>
          <w:szCs w:val="22"/>
        </w:rPr>
        <w:t xml:space="preserve"> Given the importance of s</w:t>
      </w:r>
      <w:r>
        <w:rPr>
          <w:sz w:val="22"/>
          <w:szCs w:val="22"/>
        </w:rPr>
        <w:t xml:space="preserve">tudent </w:t>
      </w:r>
      <w:r w:rsidR="00117283" w:rsidRPr="4C34B60F">
        <w:rPr>
          <w:sz w:val="22"/>
          <w:szCs w:val="22"/>
        </w:rPr>
        <w:t>group</w:t>
      </w:r>
      <w:r w:rsidR="00D9636F" w:rsidRPr="4C34B60F">
        <w:rPr>
          <w:sz w:val="22"/>
          <w:szCs w:val="22"/>
        </w:rPr>
        <w:t>s in NAEP reporting, t</w:t>
      </w:r>
      <w:r w:rsidR="00682870" w:rsidRPr="4C34B60F">
        <w:rPr>
          <w:sz w:val="22"/>
          <w:szCs w:val="22"/>
        </w:rPr>
        <w:t>wo different sets of scale score comparisons were made to evaluate the impact of SBTs integration on group-level scale scores</w:t>
      </w:r>
      <w:r w:rsidR="493D9D13" w:rsidRPr="4C34B60F">
        <w:rPr>
          <w:sz w:val="22"/>
          <w:szCs w:val="22"/>
        </w:rPr>
        <w:t>:</w:t>
      </w:r>
      <w:r w:rsidR="00682870" w:rsidRPr="4C34B60F">
        <w:rPr>
          <w:sz w:val="22"/>
          <w:szCs w:val="22"/>
        </w:rPr>
        <w:t xml:space="preserve">  </w:t>
      </w:r>
    </w:p>
    <w:p w14:paraId="46B5D35E" w14:textId="13F83047" w:rsidR="00682870" w:rsidRPr="000153EB" w:rsidRDefault="3E9FA3EA" w:rsidP="3A656B1C">
      <w:pPr>
        <w:pStyle w:val="ListParagraph"/>
        <w:numPr>
          <w:ilvl w:val="0"/>
          <w:numId w:val="42"/>
        </w:numPr>
      </w:pPr>
      <w:r w:rsidRPr="3A656B1C">
        <w:t>O</w:t>
      </w:r>
      <w:r w:rsidR="00682870" w:rsidRPr="3A656B1C">
        <w:t xml:space="preserve">ne set of comparisons evaluated whether there are differential </w:t>
      </w:r>
      <w:r w:rsidR="00BF0450" w:rsidRPr="4C34B60F">
        <w:t>s</w:t>
      </w:r>
      <w:r w:rsidR="00BF0450">
        <w:t xml:space="preserve">tudent </w:t>
      </w:r>
      <w:r w:rsidR="00BF0450" w:rsidRPr="4C34B60F">
        <w:t>group</w:t>
      </w:r>
      <w:r w:rsidR="00682870" w:rsidRPr="3A656B1C">
        <w:t xml:space="preserve"> effects as a result of integrating SBTs into the </w:t>
      </w:r>
      <w:r w:rsidR="007E7728">
        <w:t>s</w:t>
      </w:r>
      <w:r w:rsidR="00682870" w:rsidRPr="3A656B1C">
        <w:t xml:space="preserve">cience </w:t>
      </w:r>
      <w:r w:rsidR="0287D36D" w:rsidRPr="3A656B1C">
        <w:t>assessment.</w:t>
      </w:r>
      <w:r w:rsidR="00682870" w:rsidRPr="3A656B1C">
        <w:t xml:space="preserve"> </w:t>
      </w:r>
    </w:p>
    <w:p w14:paraId="487A9ABC" w14:textId="2583F450" w:rsidR="00682870" w:rsidRPr="000153EB" w:rsidRDefault="6B91280A" w:rsidP="3A656B1C">
      <w:pPr>
        <w:pStyle w:val="ListParagraph"/>
        <w:numPr>
          <w:ilvl w:val="0"/>
          <w:numId w:val="42"/>
        </w:numPr>
      </w:pPr>
      <w:r w:rsidRPr="3A656B1C">
        <w:t>T</w:t>
      </w:r>
      <w:r w:rsidR="00682870" w:rsidRPr="3A656B1C">
        <w:t xml:space="preserve">he second set of comparisons evaluated whether there are differential </w:t>
      </w:r>
      <w:r w:rsidR="00BF0450" w:rsidRPr="4C34B60F">
        <w:t>s</w:t>
      </w:r>
      <w:r w:rsidR="00BF0450">
        <w:t xml:space="preserve">tudent </w:t>
      </w:r>
      <w:r w:rsidR="00BF0450" w:rsidRPr="4C34B60F">
        <w:t>group</w:t>
      </w:r>
      <w:r w:rsidR="00682870" w:rsidRPr="3A656B1C">
        <w:t xml:space="preserve"> effects between students who took a discrete-only form </w:t>
      </w:r>
      <w:r w:rsidR="00AB500E" w:rsidRPr="3A656B1C">
        <w:t>and</w:t>
      </w:r>
      <w:r w:rsidR="00682870" w:rsidRPr="3A656B1C">
        <w:t xml:space="preserve"> students who took mixed or SBT</w:t>
      </w:r>
      <w:r w:rsidR="267A012F" w:rsidRPr="3A656B1C">
        <w:t>-</w:t>
      </w:r>
      <w:r w:rsidR="00682870" w:rsidRPr="3A656B1C">
        <w:t xml:space="preserve">only forms. </w:t>
      </w:r>
      <w:r w:rsidR="00AE4415" w:rsidRPr="3A656B1C">
        <w:t>Because the</w:t>
      </w:r>
      <w:r w:rsidR="00D2503C" w:rsidRPr="3A656B1C">
        <w:t xml:space="preserve"> two</w:t>
      </w:r>
      <w:r w:rsidR="00AE4415" w:rsidRPr="3A656B1C">
        <w:t xml:space="preserve"> sets of sampled students are randomly equivalent, differences can be attributed to differences in science proficiency as measured by discrete v</w:t>
      </w:r>
      <w:r w:rsidR="00924F35" w:rsidRPr="3A656B1C">
        <w:t>ersus</w:t>
      </w:r>
      <w:r w:rsidR="00AE4415" w:rsidRPr="3A656B1C">
        <w:t xml:space="preserve"> SBT items.</w:t>
      </w:r>
    </w:p>
    <w:p w14:paraId="39DC6D1D" w14:textId="03F2017C" w:rsidR="00E04B08" w:rsidRPr="000153EB" w:rsidRDefault="00682870" w:rsidP="3A656B1C">
      <w:pPr>
        <w:rPr>
          <w:sz w:val="22"/>
          <w:szCs w:val="22"/>
        </w:rPr>
      </w:pPr>
      <w:r w:rsidRPr="3A656B1C">
        <w:rPr>
          <w:sz w:val="22"/>
          <w:szCs w:val="22"/>
        </w:rPr>
        <w:t xml:space="preserve">The first set of scale score comparisons involved two </w:t>
      </w:r>
      <w:r w:rsidR="002C5234" w:rsidRPr="3A656B1C">
        <w:rPr>
          <w:sz w:val="22"/>
          <w:szCs w:val="22"/>
        </w:rPr>
        <w:t>samples</w:t>
      </w:r>
      <w:r w:rsidR="160E633E" w:rsidRPr="4C34B60F">
        <w:rPr>
          <w:sz w:val="22"/>
          <w:szCs w:val="22"/>
        </w:rPr>
        <w:t>:</w:t>
      </w:r>
      <w:r w:rsidR="00EC70E9" w:rsidRPr="3A656B1C">
        <w:rPr>
          <w:sz w:val="22"/>
          <w:szCs w:val="22"/>
        </w:rPr>
        <w:t xml:space="preserve"> the discrete-only form sample and the </w:t>
      </w:r>
      <w:r w:rsidRPr="3A656B1C">
        <w:rPr>
          <w:sz w:val="22"/>
          <w:szCs w:val="22"/>
        </w:rPr>
        <w:t xml:space="preserve">full DBA sample. </w:t>
      </w:r>
      <w:r w:rsidR="00E04B08" w:rsidRPr="3A656B1C">
        <w:rPr>
          <w:sz w:val="22"/>
          <w:szCs w:val="22"/>
        </w:rPr>
        <w:t xml:space="preserve">As discussed above, </w:t>
      </w:r>
      <w:r w:rsidR="00C93304" w:rsidRPr="3A656B1C">
        <w:rPr>
          <w:sz w:val="22"/>
          <w:szCs w:val="22"/>
        </w:rPr>
        <w:t>the discrete-only form sample (approximately 65% of the full sample at each grade) was based on the subset of students who took discrete-only forms</w:t>
      </w:r>
      <w:r w:rsidR="2AF72821" w:rsidRPr="4C34B60F">
        <w:rPr>
          <w:sz w:val="22"/>
          <w:szCs w:val="22"/>
        </w:rPr>
        <w:t>,</w:t>
      </w:r>
      <w:r w:rsidR="00DC7444">
        <w:rPr>
          <w:rFonts w:ascii="ZWAdobeF" w:hAnsi="ZWAdobeF" w:cs="ZWAdobeF"/>
          <w:sz w:val="2"/>
          <w:szCs w:val="2"/>
        </w:rPr>
        <w:t>5F</w:t>
      </w:r>
      <w:r w:rsidR="00C93304" w:rsidRPr="3A656B1C">
        <w:rPr>
          <w:rStyle w:val="FootnoteReference"/>
          <w:sz w:val="22"/>
          <w:szCs w:val="22"/>
        </w:rPr>
        <w:footnoteReference w:id="7"/>
      </w:r>
      <w:r w:rsidR="00C93304" w:rsidRPr="3A656B1C">
        <w:rPr>
          <w:sz w:val="22"/>
          <w:szCs w:val="22"/>
        </w:rPr>
        <w:t xml:space="preserve"> and </w:t>
      </w:r>
      <w:r w:rsidR="00E04B08" w:rsidRPr="3A656B1C">
        <w:rPr>
          <w:sz w:val="22"/>
          <w:szCs w:val="22"/>
        </w:rPr>
        <w:t>t</w:t>
      </w:r>
      <w:r w:rsidRPr="3A656B1C">
        <w:rPr>
          <w:sz w:val="22"/>
          <w:szCs w:val="22"/>
        </w:rPr>
        <w:t xml:space="preserve">he full DBA sample comprised </w:t>
      </w:r>
      <w:r w:rsidR="00DF5908" w:rsidRPr="3A656B1C">
        <w:rPr>
          <w:sz w:val="22"/>
          <w:szCs w:val="22"/>
        </w:rPr>
        <w:t>t</w:t>
      </w:r>
      <w:r w:rsidRPr="3A656B1C">
        <w:rPr>
          <w:sz w:val="22"/>
          <w:szCs w:val="22"/>
        </w:rPr>
        <w:t>he sample taking all three form types</w:t>
      </w:r>
      <w:r w:rsidR="00A3386E" w:rsidRPr="3A656B1C">
        <w:rPr>
          <w:sz w:val="22"/>
          <w:szCs w:val="22"/>
        </w:rPr>
        <w:t>.</w:t>
      </w:r>
      <w:r w:rsidRPr="3A656B1C" w:rsidDel="00C93304">
        <w:rPr>
          <w:sz w:val="22"/>
          <w:szCs w:val="22"/>
        </w:rPr>
        <w:t xml:space="preserve"> </w:t>
      </w:r>
      <w:r w:rsidR="00E04B08" w:rsidRPr="3A656B1C">
        <w:rPr>
          <w:sz w:val="22"/>
          <w:szCs w:val="22"/>
        </w:rPr>
        <w:t xml:space="preserve">The </w:t>
      </w:r>
      <w:r w:rsidR="00E0640E" w:rsidRPr="3A656B1C">
        <w:rPr>
          <w:sz w:val="22"/>
          <w:szCs w:val="22"/>
        </w:rPr>
        <w:t xml:space="preserve">set of results based on the discrete-only form sample </w:t>
      </w:r>
      <w:r w:rsidR="00E04B08" w:rsidRPr="3A656B1C">
        <w:rPr>
          <w:sz w:val="22"/>
          <w:szCs w:val="22"/>
        </w:rPr>
        <w:t>represent</w:t>
      </w:r>
      <w:r w:rsidR="178480BF" w:rsidRPr="4C34B60F">
        <w:rPr>
          <w:sz w:val="22"/>
          <w:szCs w:val="22"/>
        </w:rPr>
        <w:t>s</w:t>
      </w:r>
      <w:r w:rsidR="00E04B08" w:rsidRPr="3A656B1C">
        <w:rPr>
          <w:sz w:val="22"/>
          <w:szCs w:val="22"/>
        </w:rPr>
        <w:t xml:space="preserve"> NAEP results if the </w:t>
      </w:r>
      <w:r w:rsidR="00A3386E" w:rsidRPr="3A656B1C">
        <w:rPr>
          <w:sz w:val="22"/>
          <w:szCs w:val="22"/>
        </w:rPr>
        <w:t>s</w:t>
      </w:r>
      <w:r w:rsidR="004D179C" w:rsidRPr="3A656B1C">
        <w:rPr>
          <w:sz w:val="22"/>
          <w:szCs w:val="22"/>
        </w:rPr>
        <w:t>cience assessment</w:t>
      </w:r>
      <w:r w:rsidR="00E04B08" w:rsidRPr="3A656B1C">
        <w:rPr>
          <w:sz w:val="22"/>
          <w:szCs w:val="22"/>
        </w:rPr>
        <w:t xml:space="preserve"> </w:t>
      </w:r>
      <w:r w:rsidR="004D179C" w:rsidRPr="3A656B1C">
        <w:rPr>
          <w:sz w:val="22"/>
          <w:szCs w:val="22"/>
        </w:rPr>
        <w:t>continued to use only discrete items</w:t>
      </w:r>
      <w:r w:rsidR="3301A62D" w:rsidRPr="4C34B60F">
        <w:rPr>
          <w:sz w:val="22"/>
          <w:szCs w:val="22"/>
        </w:rPr>
        <w:t>,</w:t>
      </w:r>
      <w:r w:rsidR="004D179C" w:rsidRPr="3A656B1C">
        <w:rPr>
          <w:sz w:val="22"/>
          <w:szCs w:val="22"/>
        </w:rPr>
        <w:t xml:space="preserve"> while </w:t>
      </w:r>
      <w:r w:rsidR="005150AD" w:rsidRPr="3A656B1C">
        <w:rPr>
          <w:sz w:val="22"/>
          <w:szCs w:val="22"/>
        </w:rPr>
        <w:t xml:space="preserve">results based on the full DBA sample </w:t>
      </w:r>
      <w:r w:rsidR="004D179C" w:rsidRPr="3A656B1C">
        <w:rPr>
          <w:sz w:val="22"/>
          <w:szCs w:val="22"/>
        </w:rPr>
        <w:t xml:space="preserve">incorporate the </w:t>
      </w:r>
      <w:r w:rsidR="00E04B08" w:rsidRPr="3A656B1C">
        <w:rPr>
          <w:sz w:val="22"/>
          <w:szCs w:val="22"/>
        </w:rPr>
        <w:t>SBTs</w:t>
      </w:r>
      <w:r w:rsidR="004D179C" w:rsidRPr="3A656B1C">
        <w:rPr>
          <w:sz w:val="22"/>
          <w:szCs w:val="22"/>
        </w:rPr>
        <w:t>. Large differences in the results would indicate that including SBT</w:t>
      </w:r>
      <w:r w:rsidR="7A7E6D18" w:rsidRPr="4C34B60F">
        <w:rPr>
          <w:sz w:val="22"/>
          <w:szCs w:val="22"/>
        </w:rPr>
        <w:t>s</w:t>
      </w:r>
      <w:r w:rsidR="004D179C" w:rsidRPr="3A656B1C">
        <w:rPr>
          <w:sz w:val="22"/>
          <w:szCs w:val="22"/>
        </w:rPr>
        <w:t xml:space="preserve"> has changed what is being measured. This change is confounded with trend differences and so would constitute a</w:t>
      </w:r>
      <w:r w:rsidR="00B90F25" w:rsidRPr="3A656B1C">
        <w:rPr>
          <w:sz w:val="22"/>
          <w:szCs w:val="22"/>
        </w:rPr>
        <w:t xml:space="preserve"> </w:t>
      </w:r>
      <w:r w:rsidR="004D179C" w:rsidRPr="3A656B1C">
        <w:rPr>
          <w:sz w:val="22"/>
          <w:szCs w:val="22"/>
        </w:rPr>
        <w:t>threat to</w:t>
      </w:r>
      <w:r w:rsidR="00B90F25" w:rsidRPr="3A656B1C">
        <w:rPr>
          <w:sz w:val="22"/>
          <w:szCs w:val="22"/>
        </w:rPr>
        <w:t xml:space="preserve"> validity of one of the program’s key reporting goals</w:t>
      </w:r>
      <w:r w:rsidR="004D179C" w:rsidRPr="3A656B1C">
        <w:rPr>
          <w:sz w:val="22"/>
          <w:szCs w:val="22"/>
        </w:rPr>
        <w:t xml:space="preserve">. </w:t>
      </w:r>
    </w:p>
    <w:p w14:paraId="6111910D" w14:textId="16C8C059" w:rsidR="00682870" w:rsidRPr="000153EB" w:rsidRDefault="00B90F25" w:rsidP="3A656B1C">
      <w:pPr>
        <w:rPr>
          <w:sz w:val="22"/>
          <w:szCs w:val="22"/>
        </w:rPr>
      </w:pPr>
      <w:r w:rsidRPr="3A656B1C">
        <w:rPr>
          <w:sz w:val="22"/>
          <w:szCs w:val="22"/>
        </w:rPr>
        <w:t xml:space="preserve">Table </w:t>
      </w:r>
      <w:r w:rsidR="004F7950" w:rsidRPr="3A656B1C">
        <w:rPr>
          <w:sz w:val="22"/>
          <w:szCs w:val="22"/>
        </w:rPr>
        <w:t>4</w:t>
      </w:r>
      <w:r w:rsidRPr="3A656B1C">
        <w:rPr>
          <w:sz w:val="22"/>
          <w:szCs w:val="22"/>
        </w:rPr>
        <w:t xml:space="preserve"> contains mean scale score differences between the full DBA sample and the discrete-only form sample, the standard error of the difference and indication of statistical significance for each grade. </w:t>
      </w:r>
      <w:r w:rsidR="00682870" w:rsidRPr="3A656B1C">
        <w:rPr>
          <w:sz w:val="22"/>
          <w:szCs w:val="22"/>
        </w:rPr>
        <w:t xml:space="preserve">Scale score comparisons of these two groups revealed no significant scale score differences for the major </w:t>
      </w:r>
      <w:r w:rsidR="00FB0FF3">
        <w:rPr>
          <w:sz w:val="22"/>
          <w:szCs w:val="22"/>
        </w:rPr>
        <w:t>student group</w:t>
      </w:r>
      <w:r w:rsidR="00682870" w:rsidRPr="3A656B1C">
        <w:rPr>
          <w:sz w:val="22"/>
          <w:szCs w:val="22"/>
        </w:rPr>
        <w:t xml:space="preserve">s. The magnitude of the differences </w:t>
      </w:r>
      <w:r w:rsidR="00262683" w:rsidRPr="3A656B1C">
        <w:rPr>
          <w:sz w:val="22"/>
          <w:szCs w:val="22"/>
        </w:rPr>
        <w:t>was</w:t>
      </w:r>
      <w:r w:rsidRPr="3A656B1C">
        <w:rPr>
          <w:sz w:val="22"/>
          <w:szCs w:val="22"/>
        </w:rPr>
        <w:t xml:space="preserve"> less than</w:t>
      </w:r>
      <w:r w:rsidR="00682870" w:rsidRPr="3A656B1C">
        <w:rPr>
          <w:sz w:val="22"/>
          <w:szCs w:val="22"/>
        </w:rPr>
        <w:t xml:space="preserve"> </w:t>
      </w:r>
      <w:r w:rsidR="006B7BB8" w:rsidRPr="3A656B1C">
        <w:rPr>
          <w:sz w:val="22"/>
          <w:szCs w:val="22"/>
        </w:rPr>
        <w:t>one</w:t>
      </w:r>
      <w:r w:rsidR="00682870" w:rsidRPr="3A656B1C">
        <w:rPr>
          <w:sz w:val="22"/>
          <w:szCs w:val="22"/>
        </w:rPr>
        <w:t xml:space="preserve"> scale score point except for Asian </w:t>
      </w:r>
      <w:r w:rsidR="00CA61BD">
        <w:rPr>
          <w:sz w:val="22"/>
          <w:szCs w:val="22"/>
        </w:rPr>
        <w:t xml:space="preserve">students </w:t>
      </w:r>
      <w:r w:rsidR="00682870" w:rsidRPr="3A656B1C">
        <w:rPr>
          <w:sz w:val="22"/>
          <w:szCs w:val="22"/>
        </w:rPr>
        <w:t>(around 1.5 scale score points)</w:t>
      </w:r>
      <w:r w:rsidRPr="3A656B1C">
        <w:rPr>
          <w:sz w:val="22"/>
          <w:szCs w:val="22"/>
        </w:rPr>
        <w:t xml:space="preserve"> on the NAEP science 0</w:t>
      </w:r>
      <w:r w:rsidR="00B9315C">
        <w:rPr>
          <w:sz w:val="22"/>
          <w:szCs w:val="22"/>
        </w:rPr>
        <w:t xml:space="preserve"> to </w:t>
      </w:r>
      <w:r w:rsidRPr="3A656B1C">
        <w:rPr>
          <w:sz w:val="22"/>
          <w:szCs w:val="22"/>
        </w:rPr>
        <w:t>500 scale</w:t>
      </w:r>
      <w:r w:rsidR="00682870" w:rsidRPr="3A656B1C">
        <w:rPr>
          <w:sz w:val="22"/>
          <w:szCs w:val="22"/>
        </w:rPr>
        <w:t>.</w:t>
      </w:r>
      <w:r w:rsidR="00057733" w:rsidRPr="3A656B1C">
        <w:rPr>
          <w:sz w:val="22"/>
          <w:szCs w:val="22"/>
        </w:rPr>
        <w:t xml:space="preserve"> </w:t>
      </w:r>
      <w:r w:rsidRPr="3A656B1C">
        <w:rPr>
          <w:sz w:val="22"/>
          <w:szCs w:val="22"/>
        </w:rPr>
        <w:t xml:space="preserve"> </w:t>
      </w:r>
    </w:p>
    <w:p w14:paraId="697CABD1" w14:textId="77777777" w:rsidR="000F444A" w:rsidRDefault="000F444A" w:rsidP="00057733">
      <w:pPr>
        <w:pStyle w:val="Body"/>
        <w:rPr>
          <w:rFonts w:eastAsia="Garamond" w:cs="Garamond"/>
          <w:szCs w:val="23"/>
        </w:rPr>
      </w:pPr>
    </w:p>
    <w:p w14:paraId="0D6C00FA" w14:textId="77777777" w:rsidR="00AB4AF6" w:rsidRDefault="00AB4AF6" w:rsidP="000F444A">
      <w:pPr>
        <w:pStyle w:val="Body"/>
        <w:rPr>
          <w:rFonts w:asciiTheme="minorHAnsi" w:eastAsia="Garamond" w:hAnsiTheme="minorHAnsi" w:cstheme="minorHAnsi"/>
          <w:szCs w:val="23"/>
        </w:rPr>
      </w:pPr>
      <w:r>
        <w:rPr>
          <w:rFonts w:asciiTheme="minorHAnsi" w:eastAsia="Garamond" w:hAnsiTheme="minorHAnsi" w:cstheme="minorHAnsi"/>
          <w:szCs w:val="23"/>
        </w:rPr>
        <w:br w:type="page"/>
      </w:r>
    </w:p>
    <w:p w14:paraId="4BB04EE9" w14:textId="1E7EFB47" w:rsidR="000F444A" w:rsidRPr="000153EB" w:rsidRDefault="000F444A" w:rsidP="000F444A">
      <w:pPr>
        <w:pStyle w:val="Body"/>
        <w:rPr>
          <w:rFonts w:asciiTheme="minorHAnsi" w:eastAsia="Garamond" w:hAnsiTheme="minorHAnsi" w:cstheme="minorHAnsi"/>
          <w:szCs w:val="23"/>
        </w:rPr>
      </w:pPr>
      <w:r w:rsidRPr="000153EB">
        <w:rPr>
          <w:rFonts w:asciiTheme="minorHAnsi" w:eastAsia="Garamond" w:hAnsiTheme="minorHAnsi" w:cstheme="minorHAnsi"/>
          <w:szCs w:val="23"/>
        </w:rPr>
        <w:lastRenderedPageBreak/>
        <w:t xml:space="preserve">Table </w:t>
      </w:r>
      <w:r w:rsidR="004F7950" w:rsidRPr="000153EB">
        <w:rPr>
          <w:rFonts w:asciiTheme="minorHAnsi" w:eastAsia="Garamond" w:hAnsiTheme="minorHAnsi" w:cstheme="minorHAnsi"/>
          <w:szCs w:val="23"/>
        </w:rPr>
        <w:t>4</w:t>
      </w:r>
      <w:r w:rsidR="000153EB" w:rsidRPr="000153EB">
        <w:rPr>
          <w:rFonts w:asciiTheme="minorHAnsi" w:eastAsia="Garamond" w:hAnsiTheme="minorHAnsi" w:cstheme="minorHAnsi"/>
          <w:szCs w:val="23"/>
        </w:rPr>
        <w:t xml:space="preserve">.  </w:t>
      </w:r>
      <w:r w:rsidR="00FB0FF3">
        <w:rPr>
          <w:rFonts w:asciiTheme="minorHAnsi" w:eastAsia="Garamond" w:hAnsiTheme="minorHAnsi" w:cstheme="minorHAnsi"/>
          <w:szCs w:val="23"/>
        </w:rPr>
        <w:t>Student group</w:t>
      </w:r>
      <w:r w:rsidRPr="000153EB">
        <w:rPr>
          <w:rFonts w:asciiTheme="minorHAnsi" w:eastAsia="Garamond" w:hAnsiTheme="minorHAnsi" w:cstheme="minorHAnsi"/>
          <w:szCs w:val="23"/>
        </w:rPr>
        <w:t xml:space="preserve"> scale score differences for students in the full sample </w:t>
      </w:r>
      <w:r w:rsidR="00000F05" w:rsidRPr="000153EB">
        <w:rPr>
          <w:rFonts w:asciiTheme="minorHAnsi" w:eastAsia="Garamond" w:hAnsiTheme="minorHAnsi" w:cstheme="minorHAnsi"/>
          <w:szCs w:val="23"/>
        </w:rPr>
        <w:t>compared to</w:t>
      </w:r>
      <w:r w:rsidRPr="000153EB">
        <w:rPr>
          <w:rFonts w:asciiTheme="minorHAnsi" w:eastAsia="Garamond" w:hAnsiTheme="minorHAnsi" w:cstheme="minorHAnsi"/>
          <w:szCs w:val="23"/>
        </w:rPr>
        <w:t xml:space="preserve"> the discrete-form sample, all grades</w:t>
      </w:r>
    </w:p>
    <w:tbl>
      <w:tblPr>
        <w:tblW w:w="9367" w:type="dxa"/>
        <w:tblLayout w:type="fixed"/>
        <w:tblLook w:val="04A0" w:firstRow="1" w:lastRow="0" w:firstColumn="1" w:lastColumn="0" w:noHBand="0" w:noVBand="1"/>
      </w:tblPr>
      <w:tblGrid>
        <w:gridCol w:w="1522"/>
        <w:gridCol w:w="537"/>
        <w:gridCol w:w="1348"/>
        <w:gridCol w:w="540"/>
        <w:gridCol w:w="90"/>
        <w:gridCol w:w="450"/>
        <w:gridCol w:w="90"/>
        <w:gridCol w:w="1261"/>
        <w:gridCol w:w="537"/>
        <w:gridCol w:w="183"/>
        <w:gridCol w:w="276"/>
        <w:gridCol w:w="177"/>
        <w:gridCol w:w="902"/>
        <w:gridCol w:w="181"/>
        <w:gridCol w:w="816"/>
        <w:gridCol w:w="175"/>
        <w:gridCol w:w="102"/>
        <w:gridCol w:w="173"/>
        <w:gridCol w:w="7"/>
      </w:tblGrid>
      <w:tr w:rsidR="008723A5" w:rsidRPr="00D6499A" w14:paraId="2E4DE602" w14:textId="77777777" w:rsidTr="00ED77AF">
        <w:trPr>
          <w:gridAfter w:val="1"/>
          <w:wAfter w:w="7" w:type="dxa"/>
          <w:trHeight w:val="276"/>
        </w:trPr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09072" w14:textId="77777777" w:rsidR="00960906" w:rsidRPr="00D6499A" w:rsidRDefault="00960906" w:rsidP="00960906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25343" w14:textId="4C0E203C" w:rsidR="00960906" w:rsidRPr="00D6499A" w:rsidRDefault="0054391D" w:rsidP="009609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120FD6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               </w:t>
            </w:r>
            <w:r w:rsidR="00960906" w:rsidRPr="00D6499A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Grade 4</w:t>
            </w:r>
          </w:p>
        </w:tc>
        <w:tc>
          <w:tcPr>
            <w:tcW w:w="2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0EFC1" w14:textId="54F7832D" w:rsidR="00960906" w:rsidRPr="00D6499A" w:rsidRDefault="00120FD6" w:rsidP="009609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F50E2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903DD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60906" w:rsidRPr="00D6499A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Grade 8</w:t>
            </w:r>
          </w:p>
        </w:tc>
        <w:tc>
          <w:tcPr>
            <w:tcW w:w="2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AA4B7" w14:textId="039FAA81" w:rsidR="00960906" w:rsidRPr="00D6499A" w:rsidRDefault="00F50E28" w:rsidP="009609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60906" w:rsidRPr="00D6499A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Grade 12</w:t>
            </w:r>
          </w:p>
        </w:tc>
      </w:tr>
      <w:tr w:rsidR="00CC6258" w:rsidRPr="00D6499A" w14:paraId="0B160D67" w14:textId="77777777" w:rsidTr="00ED77AF">
        <w:trPr>
          <w:gridAfter w:val="2"/>
          <w:wAfter w:w="180" w:type="dxa"/>
          <w:trHeight w:val="548"/>
        </w:trPr>
        <w:tc>
          <w:tcPr>
            <w:tcW w:w="20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DB948" w14:textId="25C970E9" w:rsidR="00960906" w:rsidRPr="00D6499A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S</w:t>
            </w:r>
            <w:r w:rsidR="00FB0FF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tudent </w:t>
            </w:r>
            <w:r w:rsidRPr="00D6499A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13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3A0833" w14:textId="77777777" w:rsidR="00960906" w:rsidRPr="00D6499A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Difference (FULL-DI)</w:t>
            </w: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596EE8" w14:textId="648CD75B" w:rsidR="00960906" w:rsidRPr="00D6499A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SE </w:t>
            </w:r>
          </w:p>
        </w:tc>
        <w:tc>
          <w:tcPr>
            <w:tcW w:w="5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00A713" w14:textId="40854449" w:rsidR="00960906" w:rsidRPr="00D6499A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167A37" w14:textId="77777777" w:rsidR="00960906" w:rsidRPr="00D6499A" w:rsidRDefault="00960906" w:rsidP="0054391D">
            <w:pPr>
              <w:spacing w:after="0" w:line="240" w:lineRule="auto"/>
              <w:ind w:left="-288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Difference (FULL-DI)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5B62A1" w14:textId="0A2EB1D4" w:rsidR="00960906" w:rsidRPr="00D6499A" w:rsidRDefault="00960906" w:rsidP="00120FD6">
            <w:pPr>
              <w:tabs>
                <w:tab w:val="left" w:pos="391"/>
              </w:tabs>
              <w:spacing w:after="0" w:line="240" w:lineRule="auto"/>
              <w:ind w:left="-288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SE </w:t>
            </w: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E37B60" w14:textId="08509EB8" w:rsidR="00960906" w:rsidRPr="00D6499A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00F741" w14:textId="77777777" w:rsidR="00960906" w:rsidRPr="00D6499A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Difference (FULL-DI)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1A493D" w14:textId="3C68B77B" w:rsidR="00960906" w:rsidRPr="00D6499A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SE </w:t>
            </w:r>
          </w:p>
        </w:tc>
        <w:tc>
          <w:tcPr>
            <w:tcW w:w="27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86DB8" w14:textId="539976B7" w:rsidR="00960906" w:rsidRPr="00D6499A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</w:tr>
      <w:tr w:rsidR="00CC6258" w:rsidRPr="000153EB" w14:paraId="5CBA8A80" w14:textId="77777777" w:rsidTr="00647BA3">
        <w:trPr>
          <w:trHeight w:val="276"/>
        </w:trPr>
        <w:tc>
          <w:tcPr>
            <w:tcW w:w="20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CEEEC" w14:textId="77777777" w:rsidR="00960906" w:rsidRPr="000153EB" w:rsidRDefault="00960906" w:rsidP="0096090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D103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-0.55</w:t>
            </w:r>
          </w:p>
        </w:tc>
        <w:tc>
          <w:tcPr>
            <w:tcW w:w="6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54E6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0294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A788" w14:textId="77777777" w:rsidR="00960906" w:rsidRPr="000153EB" w:rsidRDefault="00960906" w:rsidP="0054391D">
            <w:pPr>
              <w:spacing w:after="0" w:line="240" w:lineRule="auto"/>
              <w:ind w:left="-288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-0.26</w:t>
            </w: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D5FD" w14:textId="77777777" w:rsidR="00960906" w:rsidRPr="000153EB" w:rsidRDefault="00960906" w:rsidP="00120FD6">
            <w:pPr>
              <w:tabs>
                <w:tab w:val="left" w:pos="391"/>
              </w:tabs>
              <w:spacing w:after="0" w:line="240" w:lineRule="auto"/>
              <w:ind w:left="-288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4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0C9E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1510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-0.34</w:t>
            </w:r>
          </w:p>
        </w:tc>
        <w:tc>
          <w:tcPr>
            <w:tcW w:w="117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F6D5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2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1223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CC6258" w:rsidRPr="000153EB" w14:paraId="356E4557" w14:textId="77777777" w:rsidTr="00206AB4">
        <w:trPr>
          <w:trHeight w:val="276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03CC5" w14:textId="77777777" w:rsidR="00960906" w:rsidRPr="000153EB" w:rsidRDefault="00960906" w:rsidP="0096090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3D77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C748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192F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D5A7" w14:textId="77777777" w:rsidR="00960906" w:rsidRPr="000153EB" w:rsidRDefault="00960906" w:rsidP="0054391D">
            <w:pPr>
              <w:spacing w:after="0" w:line="240" w:lineRule="auto"/>
              <w:ind w:left="-288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1646" w14:textId="77777777" w:rsidR="00960906" w:rsidRPr="000153EB" w:rsidRDefault="00960906" w:rsidP="00120FD6">
            <w:pPr>
              <w:tabs>
                <w:tab w:val="left" w:pos="391"/>
              </w:tabs>
              <w:spacing w:after="0" w:line="240" w:lineRule="auto"/>
              <w:ind w:left="-288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5485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4B08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4E24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ABEB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CC6258" w:rsidRPr="000153EB" w14:paraId="744E07E1" w14:textId="77777777" w:rsidTr="00206AB4">
        <w:trPr>
          <w:trHeight w:val="276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6F4E4" w14:textId="77777777" w:rsidR="00960906" w:rsidRPr="000153EB" w:rsidRDefault="00960906" w:rsidP="0096090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CA50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-0.20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1FBA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F30C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C9FC" w14:textId="77777777" w:rsidR="00960906" w:rsidRPr="000153EB" w:rsidRDefault="00960906" w:rsidP="0054391D">
            <w:pPr>
              <w:spacing w:after="0" w:line="240" w:lineRule="auto"/>
              <w:ind w:left="-288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8BFB" w14:textId="77777777" w:rsidR="00960906" w:rsidRPr="000153EB" w:rsidRDefault="00960906" w:rsidP="00120FD6">
            <w:pPr>
              <w:tabs>
                <w:tab w:val="left" w:pos="391"/>
              </w:tabs>
              <w:spacing w:after="0" w:line="240" w:lineRule="auto"/>
              <w:ind w:left="-288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084F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8D4C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8B35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27A1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CC6258" w:rsidRPr="000153EB" w14:paraId="240BFB4D" w14:textId="77777777" w:rsidTr="00206AB4">
        <w:trPr>
          <w:trHeight w:val="276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12C03" w14:textId="77777777" w:rsidR="00960906" w:rsidRPr="000153EB" w:rsidRDefault="00960906" w:rsidP="0096090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50E0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5680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3E05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37A1" w14:textId="77777777" w:rsidR="00960906" w:rsidRPr="000153EB" w:rsidRDefault="00960906" w:rsidP="0054391D">
            <w:pPr>
              <w:spacing w:after="0" w:line="240" w:lineRule="auto"/>
              <w:ind w:left="-288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1864" w14:textId="77777777" w:rsidR="00960906" w:rsidRPr="000153EB" w:rsidRDefault="00960906" w:rsidP="00120FD6">
            <w:pPr>
              <w:tabs>
                <w:tab w:val="left" w:pos="391"/>
              </w:tabs>
              <w:spacing w:after="0" w:line="240" w:lineRule="auto"/>
              <w:ind w:left="-288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ACBD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A49A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8EE5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D736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CC6258" w:rsidRPr="000153EB" w14:paraId="603865C5" w14:textId="77777777" w:rsidTr="00206AB4">
        <w:trPr>
          <w:trHeight w:val="276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473CA" w14:textId="77777777" w:rsidR="00960906" w:rsidRPr="000153EB" w:rsidRDefault="00960906" w:rsidP="0096090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FCC6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-0.21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2374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E5CB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6F9D" w14:textId="77777777" w:rsidR="00960906" w:rsidRPr="000153EB" w:rsidRDefault="00960906" w:rsidP="0054391D">
            <w:pPr>
              <w:spacing w:after="0" w:line="240" w:lineRule="auto"/>
              <w:ind w:left="-288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D632" w14:textId="77777777" w:rsidR="00960906" w:rsidRPr="000153EB" w:rsidRDefault="00960906" w:rsidP="00120FD6">
            <w:pPr>
              <w:tabs>
                <w:tab w:val="left" w:pos="391"/>
              </w:tabs>
              <w:spacing w:after="0" w:line="240" w:lineRule="auto"/>
              <w:ind w:left="-288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EEE4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798A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-0.36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A5BD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E7DB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CC6258" w:rsidRPr="000153EB" w14:paraId="38421513" w14:textId="77777777" w:rsidTr="00206AB4">
        <w:trPr>
          <w:trHeight w:val="276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51B09" w14:textId="77777777" w:rsidR="00960906" w:rsidRPr="000153EB" w:rsidRDefault="00960906" w:rsidP="0096090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0914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11D0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58B1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4928" w14:textId="77777777" w:rsidR="00960906" w:rsidRPr="000153EB" w:rsidRDefault="00960906" w:rsidP="0054391D">
            <w:pPr>
              <w:spacing w:after="0" w:line="240" w:lineRule="auto"/>
              <w:ind w:left="-288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-1.29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489D" w14:textId="77777777" w:rsidR="00960906" w:rsidRPr="000153EB" w:rsidRDefault="00960906" w:rsidP="00120FD6">
            <w:pPr>
              <w:tabs>
                <w:tab w:val="left" w:pos="391"/>
              </w:tabs>
              <w:spacing w:after="0" w:line="240" w:lineRule="auto"/>
              <w:ind w:left="-288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1.30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9B02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6BD2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-1.45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5E2A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1.53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22EF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CC6258" w:rsidRPr="000153EB" w14:paraId="561F1E9B" w14:textId="77777777" w:rsidTr="00206AB4">
        <w:trPr>
          <w:trHeight w:val="276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F431B" w14:textId="77777777" w:rsidR="00960906" w:rsidRPr="000153EB" w:rsidRDefault="00960906" w:rsidP="0096090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SD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4E67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BF54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C14D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5AE6" w14:textId="77777777" w:rsidR="00960906" w:rsidRPr="000153EB" w:rsidRDefault="00960906" w:rsidP="0054391D">
            <w:pPr>
              <w:spacing w:after="0" w:line="240" w:lineRule="auto"/>
              <w:ind w:left="-288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-0.72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FEAB" w14:textId="77777777" w:rsidR="00960906" w:rsidRPr="000153EB" w:rsidRDefault="00960906" w:rsidP="00120FD6">
            <w:pPr>
              <w:tabs>
                <w:tab w:val="left" w:pos="391"/>
              </w:tabs>
              <w:spacing w:after="0" w:line="240" w:lineRule="auto"/>
              <w:ind w:left="-288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F383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B924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-0.76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57AC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20CC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CC6258" w:rsidRPr="000153EB" w14:paraId="47601DF0" w14:textId="77777777" w:rsidTr="00206AB4">
        <w:trPr>
          <w:trHeight w:val="276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5FAC0" w14:textId="4B3C99A0" w:rsidR="00960906" w:rsidRPr="000153EB" w:rsidRDefault="00960906" w:rsidP="0096090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Non</w:t>
            </w:r>
            <w:r w:rsidR="00D95BE3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-</w:t>
            </w:r>
            <w:r w:rsidRPr="000153EB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SD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5471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-0.12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51D7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66F8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04F9" w14:textId="77777777" w:rsidR="00960906" w:rsidRPr="000153EB" w:rsidRDefault="00960906" w:rsidP="0054391D">
            <w:pPr>
              <w:spacing w:after="0" w:line="240" w:lineRule="auto"/>
              <w:ind w:left="-288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-0.15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85DF" w14:textId="77777777" w:rsidR="00960906" w:rsidRPr="000153EB" w:rsidRDefault="00960906" w:rsidP="00120FD6">
            <w:pPr>
              <w:tabs>
                <w:tab w:val="left" w:pos="391"/>
              </w:tabs>
              <w:spacing w:after="0" w:line="240" w:lineRule="auto"/>
              <w:ind w:left="-288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8571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1A32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90FB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DC74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CC6258" w:rsidRPr="000153EB" w14:paraId="23647B31" w14:textId="77777777" w:rsidTr="00206AB4">
        <w:trPr>
          <w:trHeight w:val="276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96B2F" w14:textId="77777777" w:rsidR="00960906" w:rsidRPr="000153EB" w:rsidRDefault="00960906" w:rsidP="0096090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EL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D299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-0.18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2055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342C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46EA" w14:textId="77777777" w:rsidR="00960906" w:rsidRPr="000153EB" w:rsidRDefault="00960906" w:rsidP="0054391D">
            <w:pPr>
              <w:spacing w:after="0" w:line="240" w:lineRule="auto"/>
              <w:ind w:left="-288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4B10" w14:textId="77777777" w:rsidR="00960906" w:rsidRPr="000153EB" w:rsidRDefault="00960906" w:rsidP="00120FD6">
            <w:pPr>
              <w:tabs>
                <w:tab w:val="left" w:pos="391"/>
              </w:tabs>
              <w:spacing w:after="0" w:line="240" w:lineRule="auto"/>
              <w:ind w:left="-288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664D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685E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DA87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1.59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5AF7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CC6258" w:rsidRPr="000153EB" w14:paraId="1ECBE33C" w14:textId="77777777" w:rsidTr="00206AB4">
        <w:trPr>
          <w:trHeight w:val="276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6C8E3" w14:textId="64AA2632" w:rsidR="00960906" w:rsidRPr="000153EB" w:rsidRDefault="00960906" w:rsidP="0096090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Non</w:t>
            </w:r>
            <w:r w:rsidR="00D95BE3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-</w:t>
            </w:r>
            <w:r w:rsidRPr="000153EB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EL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8E3F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E24D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6E86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009E" w14:textId="77777777" w:rsidR="00960906" w:rsidRPr="000153EB" w:rsidRDefault="00960906" w:rsidP="0054391D">
            <w:pPr>
              <w:spacing w:after="0" w:line="240" w:lineRule="auto"/>
              <w:ind w:left="-288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837D" w14:textId="77777777" w:rsidR="00960906" w:rsidRPr="000153EB" w:rsidRDefault="00960906" w:rsidP="00120FD6">
            <w:pPr>
              <w:tabs>
                <w:tab w:val="left" w:pos="391"/>
              </w:tabs>
              <w:spacing w:after="0" w:line="240" w:lineRule="auto"/>
              <w:ind w:left="-288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474D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163C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DDA7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320C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CC6258" w:rsidRPr="000153EB" w14:paraId="674E5D3F" w14:textId="77777777" w:rsidTr="00ED77AF">
        <w:trPr>
          <w:trHeight w:val="276"/>
        </w:trPr>
        <w:tc>
          <w:tcPr>
            <w:tcW w:w="20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ED9255B" w14:textId="2E8DB467" w:rsidR="00960906" w:rsidRPr="000153EB" w:rsidRDefault="007166CE" w:rsidP="0096090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Eligible for NSLP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BC25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-0.10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B819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7D0F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8A87" w14:textId="77777777" w:rsidR="00960906" w:rsidRPr="000153EB" w:rsidRDefault="00960906" w:rsidP="0054391D">
            <w:pPr>
              <w:spacing w:after="0" w:line="240" w:lineRule="auto"/>
              <w:ind w:left="-288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-0.12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5454" w14:textId="77777777" w:rsidR="00960906" w:rsidRPr="000153EB" w:rsidRDefault="00960906" w:rsidP="00120FD6">
            <w:pPr>
              <w:tabs>
                <w:tab w:val="left" w:pos="391"/>
              </w:tabs>
              <w:spacing w:after="0" w:line="240" w:lineRule="auto"/>
              <w:ind w:left="-288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FAF2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0D5B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FDDA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6AF7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CC6258" w:rsidRPr="000153EB" w14:paraId="399FA07D" w14:textId="77777777" w:rsidTr="00ED77AF">
        <w:trPr>
          <w:trHeight w:val="276"/>
        </w:trPr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5C19B8" w14:textId="48424026" w:rsidR="00960906" w:rsidRPr="000153EB" w:rsidRDefault="007166CE" w:rsidP="0096090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Not eligible for NSLP</w:t>
            </w:r>
            <w:r w:rsidR="00960906" w:rsidRPr="000153EB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38DE6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7732A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9FE75" w14:textId="77777777" w:rsidR="00960906" w:rsidRPr="000153EB" w:rsidRDefault="00960906" w:rsidP="00960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38D11" w14:textId="77777777" w:rsidR="00960906" w:rsidRPr="000153EB" w:rsidRDefault="00960906" w:rsidP="0054391D">
            <w:pPr>
              <w:spacing w:after="0" w:line="240" w:lineRule="auto"/>
              <w:ind w:left="-288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7B8B8" w14:textId="77777777" w:rsidR="00960906" w:rsidRPr="000153EB" w:rsidRDefault="00960906" w:rsidP="00120FD6">
            <w:pPr>
              <w:tabs>
                <w:tab w:val="left" w:pos="391"/>
              </w:tabs>
              <w:spacing w:after="0" w:line="240" w:lineRule="auto"/>
              <w:ind w:left="-288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621C5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A3B82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-0.11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9EC3B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3EB">
              <w:rPr>
                <w:rFonts w:eastAsia="Times New Roman" w:cstheme="minorHAns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84C9A" w14:textId="77777777" w:rsidR="00960906" w:rsidRPr="000153EB" w:rsidRDefault="00960906" w:rsidP="00120FD6">
            <w:pPr>
              <w:spacing w:after="0" w:line="240" w:lineRule="auto"/>
              <w:ind w:left="-293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</w:tbl>
    <w:p w14:paraId="41F223DD" w14:textId="79E18122" w:rsidR="00710396" w:rsidRPr="009C5B9C" w:rsidRDefault="00020EDC" w:rsidP="4C34B60F">
      <w:pPr>
        <w:pStyle w:val="Body"/>
        <w:spacing w:before="0" w:after="0"/>
        <w:contextualSpacing/>
        <w:rPr>
          <w:rFonts w:asciiTheme="minorHAnsi" w:eastAsia="Garamond" w:hAnsiTheme="minorHAnsi" w:cstheme="minorHAnsi"/>
          <w:sz w:val="22"/>
          <w:szCs w:val="22"/>
        </w:rPr>
      </w:pPr>
      <w:r w:rsidRPr="009C5B9C">
        <w:rPr>
          <w:rFonts w:asciiTheme="minorHAnsi" w:eastAsia="Garamond" w:hAnsiTheme="minorHAnsi" w:cstheme="minorBidi"/>
          <w:sz w:val="20"/>
          <w:szCs w:val="22"/>
        </w:rPr>
        <w:t xml:space="preserve">NOTE:  </w:t>
      </w:r>
      <w:r w:rsidR="00710396" w:rsidRPr="009C5B9C">
        <w:rPr>
          <w:rFonts w:asciiTheme="minorHAnsi" w:eastAsia="Garamond" w:hAnsiTheme="minorHAnsi" w:cstheme="minorBidi"/>
          <w:sz w:val="20"/>
          <w:szCs w:val="22"/>
        </w:rPr>
        <w:t xml:space="preserve">SD = </w:t>
      </w:r>
      <w:r w:rsidRPr="009C5B9C">
        <w:rPr>
          <w:rFonts w:asciiTheme="minorHAnsi" w:eastAsia="Garamond" w:hAnsiTheme="minorHAnsi" w:cstheme="minorBidi"/>
          <w:sz w:val="20"/>
          <w:szCs w:val="22"/>
        </w:rPr>
        <w:t xml:space="preserve">Students identified as students </w:t>
      </w:r>
      <w:r w:rsidR="00710396" w:rsidRPr="009C5B9C">
        <w:rPr>
          <w:rFonts w:asciiTheme="minorHAnsi" w:eastAsia="Garamond" w:hAnsiTheme="minorHAnsi" w:cstheme="minorBidi"/>
          <w:sz w:val="20"/>
          <w:szCs w:val="22"/>
        </w:rPr>
        <w:t xml:space="preserve">with disabilities; EL = English </w:t>
      </w:r>
      <w:r w:rsidR="77FD80E2" w:rsidRPr="009C5B9C">
        <w:rPr>
          <w:rFonts w:asciiTheme="minorHAnsi" w:eastAsia="Garamond" w:hAnsiTheme="minorHAnsi" w:cstheme="minorBidi"/>
          <w:sz w:val="20"/>
          <w:szCs w:val="22"/>
        </w:rPr>
        <w:t>l</w:t>
      </w:r>
      <w:r w:rsidR="00710396" w:rsidRPr="009C5B9C">
        <w:rPr>
          <w:rFonts w:asciiTheme="minorHAnsi" w:eastAsia="Garamond" w:hAnsiTheme="minorHAnsi" w:cstheme="minorBidi"/>
          <w:sz w:val="20"/>
          <w:szCs w:val="22"/>
        </w:rPr>
        <w:t>earners</w:t>
      </w:r>
      <w:r w:rsidR="00711BFB" w:rsidRPr="009C5B9C">
        <w:rPr>
          <w:rFonts w:asciiTheme="minorHAnsi" w:eastAsia="Garamond" w:hAnsiTheme="minorHAnsi" w:cstheme="minorBidi"/>
          <w:sz w:val="20"/>
          <w:szCs w:val="22"/>
        </w:rPr>
        <w:t xml:space="preserve">; </w:t>
      </w:r>
      <w:r w:rsidR="00711BFB" w:rsidRPr="009C5B9C">
        <w:rPr>
          <w:rFonts w:asciiTheme="minorHAnsi" w:hAnsiTheme="minorHAnsi" w:cstheme="minorHAnsi"/>
          <w:sz w:val="20"/>
        </w:rPr>
        <w:t>NSLP = National School Lunch Program.</w:t>
      </w:r>
    </w:p>
    <w:p w14:paraId="58E58839" w14:textId="77777777" w:rsidR="00057733" w:rsidRPr="000153EB" w:rsidRDefault="00057733" w:rsidP="00057733">
      <w:pPr>
        <w:pStyle w:val="Body"/>
        <w:rPr>
          <w:rFonts w:asciiTheme="minorHAnsi" w:eastAsia="Garamond" w:hAnsiTheme="minorHAnsi" w:cstheme="minorHAnsi"/>
          <w:sz w:val="22"/>
          <w:szCs w:val="22"/>
        </w:rPr>
      </w:pPr>
    </w:p>
    <w:p w14:paraId="5AA399DF" w14:textId="762FACDD" w:rsidR="00057733" w:rsidRPr="00D6499A" w:rsidRDefault="00EC4409" w:rsidP="3A656B1C">
      <w:pPr>
        <w:rPr>
          <w:sz w:val="22"/>
          <w:szCs w:val="22"/>
        </w:rPr>
      </w:pPr>
      <w:r w:rsidRPr="3A656B1C">
        <w:rPr>
          <w:sz w:val="22"/>
          <w:szCs w:val="22"/>
        </w:rPr>
        <w:t xml:space="preserve">Although the discrete-only </w:t>
      </w:r>
      <w:r w:rsidR="001B3AFF" w:rsidRPr="3A656B1C">
        <w:rPr>
          <w:sz w:val="22"/>
          <w:szCs w:val="22"/>
        </w:rPr>
        <w:t xml:space="preserve">form </w:t>
      </w:r>
      <w:r w:rsidR="004D2D2F" w:rsidRPr="3A656B1C">
        <w:rPr>
          <w:sz w:val="22"/>
          <w:szCs w:val="22"/>
        </w:rPr>
        <w:t xml:space="preserve">sample </w:t>
      </w:r>
      <w:r w:rsidR="005A76D1" w:rsidRPr="3A656B1C">
        <w:rPr>
          <w:sz w:val="22"/>
          <w:szCs w:val="22"/>
        </w:rPr>
        <w:t>and full</w:t>
      </w:r>
      <w:r w:rsidR="004D2D2F" w:rsidRPr="3A656B1C">
        <w:rPr>
          <w:sz w:val="22"/>
          <w:szCs w:val="22"/>
        </w:rPr>
        <w:t xml:space="preserve"> DBA sample</w:t>
      </w:r>
      <w:r w:rsidR="005A76D1" w:rsidRPr="3A656B1C">
        <w:rPr>
          <w:sz w:val="22"/>
          <w:szCs w:val="22"/>
        </w:rPr>
        <w:t xml:space="preserve"> comparison</w:t>
      </w:r>
      <w:r w:rsidRPr="3A656B1C">
        <w:rPr>
          <w:sz w:val="22"/>
          <w:szCs w:val="22"/>
        </w:rPr>
        <w:t xml:space="preserve"> analysis reflects what the actual reporting would look like, there was some concern that the discrete-only form sample composed a large proportion of the full DBA sample.</w:t>
      </w:r>
      <w:r w:rsidR="005A76D1" w:rsidRPr="3A656B1C">
        <w:rPr>
          <w:sz w:val="22"/>
          <w:szCs w:val="22"/>
        </w:rPr>
        <w:t xml:space="preserve"> Therefore, t</w:t>
      </w:r>
      <w:r w:rsidR="00682870" w:rsidRPr="3A656B1C">
        <w:rPr>
          <w:sz w:val="22"/>
          <w:szCs w:val="22"/>
        </w:rPr>
        <w:t>he second analysis compared two mutually exclusive</w:t>
      </w:r>
      <w:r w:rsidR="00AE4415" w:rsidRPr="3A656B1C">
        <w:rPr>
          <w:sz w:val="22"/>
          <w:szCs w:val="22"/>
        </w:rPr>
        <w:t>, randomly equivalent</w:t>
      </w:r>
      <w:r w:rsidR="00682870" w:rsidRPr="3A656B1C">
        <w:rPr>
          <w:sz w:val="22"/>
          <w:szCs w:val="22"/>
        </w:rPr>
        <w:t xml:space="preserve"> </w:t>
      </w:r>
      <w:r w:rsidR="006C2C72" w:rsidRPr="3A656B1C">
        <w:rPr>
          <w:sz w:val="22"/>
          <w:szCs w:val="22"/>
        </w:rPr>
        <w:t>samples</w:t>
      </w:r>
      <w:r w:rsidR="00682870" w:rsidRPr="3A656B1C">
        <w:rPr>
          <w:sz w:val="22"/>
          <w:szCs w:val="22"/>
        </w:rPr>
        <w:t xml:space="preserve"> of students</w:t>
      </w:r>
      <w:r w:rsidR="1AB0AF64" w:rsidRPr="4C34B60F">
        <w:rPr>
          <w:sz w:val="22"/>
          <w:szCs w:val="22"/>
        </w:rPr>
        <w:t>:</w:t>
      </w:r>
      <w:r w:rsidR="00682870" w:rsidRPr="3A656B1C">
        <w:rPr>
          <w:sz w:val="22"/>
          <w:szCs w:val="22"/>
        </w:rPr>
        <w:t xml:space="preserve"> </w:t>
      </w:r>
      <w:r w:rsidR="35EAA133" w:rsidRPr="4C34B60F">
        <w:rPr>
          <w:sz w:val="22"/>
          <w:szCs w:val="22"/>
        </w:rPr>
        <w:t xml:space="preserve">a </w:t>
      </w:r>
      <w:r w:rsidR="00E64C3C" w:rsidRPr="3A656B1C">
        <w:rPr>
          <w:sz w:val="22"/>
          <w:szCs w:val="22"/>
        </w:rPr>
        <w:t>discrete</w:t>
      </w:r>
      <w:r w:rsidR="00794FDB" w:rsidRPr="3A656B1C">
        <w:rPr>
          <w:sz w:val="22"/>
          <w:szCs w:val="22"/>
        </w:rPr>
        <w:t>-</w:t>
      </w:r>
      <w:r w:rsidR="00E64C3C" w:rsidRPr="3A656B1C">
        <w:rPr>
          <w:sz w:val="22"/>
          <w:szCs w:val="22"/>
        </w:rPr>
        <w:t xml:space="preserve">only </w:t>
      </w:r>
      <w:r w:rsidR="00A474E2" w:rsidRPr="3A656B1C">
        <w:rPr>
          <w:sz w:val="22"/>
          <w:szCs w:val="22"/>
        </w:rPr>
        <w:t xml:space="preserve">form </w:t>
      </w:r>
      <w:r w:rsidR="00E64C3C" w:rsidRPr="3A656B1C">
        <w:rPr>
          <w:sz w:val="22"/>
          <w:szCs w:val="22"/>
        </w:rPr>
        <w:t xml:space="preserve">sample </w:t>
      </w:r>
      <w:r w:rsidR="00682870" w:rsidRPr="3A656B1C" w:rsidDel="0002375C">
        <w:rPr>
          <w:sz w:val="22"/>
          <w:szCs w:val="22"/>
        </w:rPr>
        <w:t>and</w:t>
      </w:r>
      <w:r w:rsidR="00682870" w:rsidRPr="3A656B1C">
        <w:rPr>
          <w:sz w:val="22"/>
          <w:szCs w:val="22"/>
        </w:rPr>
        <w:t xml:space="preserve"> </w:t>
      </w:r>
      <w:r w:rsidR="47153089" w:rsidRPr="4C34B60F">
        <w:rPr>
          <w:sz w:val="22"/>
          <w:szCs w:val="22"/>
        </w:rPr>
        <w:t xml:space="preserve">an </w:t>
      </w:r>
      <w:r w:rsidR="00DA7D33" w:rsidRPr="3A656B1C">
        <w:rPr>
          <w:sz w:val="22"/>
          <w:szCs w:val="22"/>
        </w:rPr>
        <w:t>SBT</w:t>
      </w:r>
      <w:r w:rsidR="0081597B" w:rsidRPr="3A656B1C">
        <w:rPr>
          <w:sz w:val="22"/>
          <w:szCs w:val="22"/>
        </w:rPr>
        <w:t xml:space="preserve">-only </w:t>
      </w:r>
      <w:r w:rsidR="00A474E2" w:rsidRPr="3A656B1C">
        <w:rPr>
          <w:sz w:val="22"/>
          <w:szCs w:val="22"/>
        </w:rPr>
        <w:t xml:space="preserve">form </w:t>
      </w:r>
      <w:r w:rsidR="00CD519B" w:rsidRPr="3A656B1C">
        <w:rPr>
          <w:sz w:val="22"/>
          <w:szCs w:val="22"/>
        </w:rPr>
        <w:t>or mixed-form sample</w:t>
      </w:r>
      <w:r w:rsidR="00682870" w:rsidRPr="3A656B1C">
        <w:rPr>
          <w:sz w:val="22"/>
          <w:szCs w:val="22"/>
        </w:rPr>
        <w:t xml:space="preserve">. </w:t>
      </w:r>
      <w:r w:rsidR="008A4B96" w:rsidRPr="3A656B1C">
        <w:rPr>
          <w:sz w:val="22"/>
          <w:szCs w:val="22"/>
        </w:rPr>
        <w:t>For the</w:t>
      </w:r>
      <w:r w:rsidR="008A4B96" w:rsidRPr="3A656B1C" w:rsidDel="00CD519B">
        <w:rPr>
          <w:sz w:val="22"/>
          <w:szCs w:val="22"/>
        </w:rPr>
        <w:t xml:space="preserve"> </w:t>
      </w:r>
      <w:r w:rsidR="008A4B96" w:rsidRPr="3A656B1C">
        <w:rPr>
          <w:sz w:val="22"/>
          <w:szCs w:val="22"/>
        </w:rPr>
        <w:t>discrete</w:t>
      </w:r>
      <w:r w:rsidR="00D167BA" w:rsidRPr="3A656B1C">
        <w:rPr>
          <w:sz w:val="22"/>
          <w:szCs w:val="22"/>
        </w:rPr>
        <w:t>-only form</w:t>
      </w:r>
      <w:r w:rsidR="00CD519B" w:rsidRPr="3A656B1C">
        <w:rPr>
          <w:sz w:val="22"/>
          <w:szCs w:val="22"/>
        </w:rPr>
        <w:t xml:space="preserve"> sample</w:t>
      </w:r>
      <w:r w:rsidR="00D167BA" w:rsidRPr="3A656B1C">
        <w:rPr>
          <w:sz w:val="22"/>
          <w:szCs w:val="22"/>
        </w:rPr>
        <w:t>, the DI scale was formed based on scaling only the DI items</w:t>
      </w:r>
      <w:r w:rsidR="001E0BB3" w:rsidRPr="3A656B1C">
        <w:rPr>
          <w:sz w:val="22"/>
          <w:szCs w:val="22"/>
        </w:rPr>
        <w:t xml:space="preserve"> (which are the same results as in Table 3)</w:t>
      </w:r>
      <w:r w:rsidR="004D5F8C" w:rsidRPr="3A656B1C">
        <w:rPr>
          <w:sz w:val="22"/>
          <w:szCs w:val="22"/>
        </w:rPr>
        <w:t xml:space="preserve"> and linking those results to the science trend reporting scale through a common-population linking to the 2019 </w:t>
      </w:r>
      <w:r w:rsidR="00820B55" w:rsidRPr="3A656B1C">
        <w:rPr>
          <w:sz w:val="22"/>
          <w:szCs w:val="22"/>
        </w:rPr>
        <w:t>paper</w:t>
      </w:r>
      <w:r w:rsidR="000364E5" w:rsidRPr="3A656B1C">
        <w:rPr>
          <w:sz w:val="22"/>
          <w:szCs w:val="22"/>
        </w:rPr>
        <w:t>-</w:t>
      </w:r>
      <w:r w:rsidR="00820B55" w:rsidRPr="3A656B1C">
        <w:rPr>
          <w:sz w:val="22"/>
          <w:szCs w:val="22"/>
        </w:rPr>
        <w:t>based assessment (</w:t>
      </w:r>
      <w:r w:rsidR="004D5F8C" w:rsidRPr="3A656B1C">
        <w:rPr>
          <w:sz w:val="22"/>
          <w:szCs w:val="22"/>
        </w:rPr>
        <w:t>PBA</w:t>
      </w:r>
      <w:r w:rsidR="00820B55" w:rsidRPr="3A656B1C">
        <w:rPr>
          <w:sz w:val="22"/>
          <w:szCs w:val="22"/>
        </w:rPr>
        <w:t>)</w:t>
      </w:r>
      <w:r w:rsidR="00DC7444">
        <w:rPr>
          <w:rFonts w:ascii="ZWAdobeF" w:hAnsi="ZWAdobeF" w:cs="ZWAdobeF"/>
          <w:sz w:val="2"/>
          <w:szCs w:val="2"/>
        </w:rPr>
        <w:t>6F</w:t>
      </w:r>
      <w:r w:rsidR="00AE4415" w:rsidRPr="3A656B1C">
        <w:rPr>
          <w:rStyle w:val="FootnoteReference"/>
          <w:sz w:val="22"/>
          <w:szCs w:val="22"/>
        </w:rPr>
        <w:footnoteReference w:id="8"/>
      </w:r>
      <w:r w:rsidR="004D5F8C" w:rsidRPr="3A656B1C">
        <w:rPr>
          <w:sz w:val="22"/>
          <w:szCs w:val="22"/>
        </w:rPr>
        <w:t xml:space="preserve"> sample. </w:t>
      </w:r>
      <w:r w:rsidR="000F192C" w:rsidRPr="3A656B1C">
        <w:rPr>
          <w:sz w:val="22"/>
          <w:szCs w:val="22"/>
        </w:rPr>
        <w:t xml:space="preserve">For the </w:t>
      </w:r>
      <w:r w:rsidR="00536E8D" w:rsidRPr="3A656B1C">
        <w:rPr>
          <w:sz w:val="22"/>
          <w:szCs w:val="22"/>
        </w:rPr>
        <w:t xml:space="preserve">SBT-only </w:t>
      </w:r>
      <w:r w:rsidR="002705C4" w:rsidRPr="3A656B1C">
        <w:rPr>
          <w:sz w:val="22"/>
          <w:szCs w:val="22"/>
        </w:rPr>
        <w:t xml:space="preserve">form </w:t>
      </w:r>
      <w:r w:rsidR="00536E8D" w:rsidRPr="3A656B1C">
        <w:rPr>
          <w:sz w:val="22"/>
          <w:szCs w:val="22"/>
        </w:rPr>
        <w:t>or mixed-</w:t>
      </w:r>
      <w:r w:rsidR="002705C4" w:rsidRPr="3A656B1C">
        <w:rPr>
          <w:sz w:val="22"/>
          <w:szCs w:val="22"/>
        </w:rPr>
        <w:t xml:space="preserve">form </w:t>
      </w:r>
      <w:r w:rsidR="00805A01" w:rsidRPr="3A656B1C">
        <w:rPr>
          <w:sz w:val="22"/>
          <w:szCs w:val="22"/>
        </w:rPr>
        <w:t>sample</w:t>
      </w:r>
      <w:r w:rsidR="00FE4C78" w:rsidRPr="3A656B1C">
        <w:rPr>
          <w:sz w:val="22"/>
          <w:szCs w:val="22"/>
        </w:rPr>
        <w:t xml:space="preserve">, </w:t>
      </w:r>
      <w:r w:rsidR="00AE4415" w:rsidRPr="3A656B1C">
        <w:rPr>
          <w:sz w:val="22"/>
          <w:szCs w:val="22"/>
        </w:rPr>
        <w:t>a special set of analyses was conducted to create an SBT scale. T</w:t>
      </w:r>
      <w:r w:rsidR="00FE4C78" w:rsidRPr="3A656B1C">
        <w:rPr>
          <w:sz w:val="22"/>
          <w:szCs w:val="22"/>
        </w:rPr>
        <w:t xml:space="preserve">he </w:t>
      </w:r>
      <w:r w:rsidR="005D5230" w:rsidRPr="3A656B1C">
        <w:rPr>
          <w:sz w:val="22"/>
          <w:szCs w:val="22"/>
        </w:rPr>
        <w:t xml:space="preserve">SBT scale was formed </w:t>
      </w:r>
      <w:r w:rsidR="00AE4415" w:rsidRPr="3A656B1C">
        <w:rPr>
          <w:sz w:val="22"/>
          <w:szCs w:val="22"/>
        </w:rPr>
        <w:t>using</w:t>
      </w:r>
      <w:r w:rsidR="005D5230" w:rsidRPr="3A656B1C">
        <w:rPr>
          <w:sz w:val="22"/>
          <w:szCs w:val="22"/>
        </w:rPr>
        <w:t xml:space="preserve"> only the SBT items</w:t>
      </w:r>
      <w:r w:rsidR="00130875" w:rsidRPr="3A656B1C">
        <w:rPr>
          <w:sz w:val="22"/>
          <w:szCs w:val="22"/>
        </w:rPr>
        <w:t xml:space="preserve"> </w:t>
      </w:r>
      <w:r w:rsidR="00AE4415" w:rsidRPr="3A656B1C">
        <w:rPr>
          <w:sz w:val="22"/>
          <w:szCs w:val="22"/>
        </w:rPr>
        <w:t>in the IRT</w:t>
      </w:r>
      <w:r w:rsidR="00846D4F" w:rsidRPr="3A656B1C">
        <w:rPr>
          <w:sz w:val="22"/>
          <w:szCs w:val="22"/>
        </w:rPr>
        <w:t xml:space="preserve"> scaling,</w:t>
      </w:r>
      <w:r w:rsidR="00AE4415" w:rsidRPr="3A656B1C">
        <w:rPr>
          <w:sz w:val="22"/>
          <w:szCs w:val="22"/>
        </w:rPr>
        <w:t xml:space="preserve"> then</w:t>
      </w:r>
      <w:r w:rsidR="00130875" w:rsidRPr="3A656B1C">
        <w:rPr>
          <w:sz w:val="22"/>
          <w:szCs w:val="22"/>
        </w:rPr>
        <w:t xml:space="preserve"> linking those results to the science trend reporting scale through a common-population linking</w:t>
      </w:r>
      <w:r w:rsidR="00FD6E7D" w:rsidRPr="3A656B1C">
        <w:rPr>
          <w:sz w:val="22"/>
          <w:szCs w:val="22"/>
        </w:rPr>
        <w:t xml:space="preserve"> to the 2019 PBA sample. </w:t>
      </w:r>
      <w:r w:rsidR="00682870" w:rsidRPr="3A656B1C">
        <w:rPr>
          <w:sz w:val="22"/>
          <w:szCs w:val="22"/>
        </w:rPr>
        <w:t xml:space="preserve">Table </w:t>
      </w:r>
      <w:r w:rsidR="004F7950" w:rsidRPr="3A656B1C">
        <w:rPr>
          <w:sz w:val="22"/>
          <w:szCs w:val="22"/>
        </w:rPr>
        <w:t>5</w:t>
      </w:r>
      <w:r w:rsidR="007A1B99" w:rsidRPr="3A656B1C" w:rsidDel="004F7950">
        <w:rPr>
          <w:sz w:val="22"/>
          <w:szCs w:val="22"/>
        </w:rPr>
        <w:t xml:space="preserve"> </w:t>
      </w:r>
      <w:r w:rsidR="00682870" w:rsidRPr="3A656B1C">
        <w:rPr>
          <w:sz w:val="22"/>
          <w:szCs w:val="22"/>
        </w:rPr>
        <w:t>contain</w:t>
      </w:r>
      <w:r w:rsidR="00176182" w:rsidRPr="3A656B1C">
        <w:rPr>
          <w:sz w:val="22"/>
          <w:szCs w:val="22"/>
        </w:rPr>
        <w:t>s</w:t>
      </w:r>
      <w:r w:rsidR="005B5BFA" w:rsidRPr="3A656B1C">
        <w:rPr>
          <w:sz w:val="22"/>
          <w:szCs w:val="22"/>
        </w:rPr>
        <w:t xml:space="preserve"> mean scale score differences between the </w:t>
      </w:r>
      <w:r w:rsidR="00B56B47" w:rsidRPr="3A656B1C">
        <w:rPr>
          <w:sz w:val="22"/>
          <w:szCs w:val="22"/>
        </w:rPr>
        <w:t>SBT</w:t>
      </w:r>
      <w:r w:rsidR="005B5BFA" w:rsidRPr="3A656B1C">
        <w:rPr>
          <w:sz w:val="22"/>
          <w:szCs w:val="22"/>
        </w:rPr>
        <w:t xml:space="preserve"> </w:t>
      </w:r>
      <w:r w:rsidR="00B56B47" w:rsidRPr="3A656B1C">
        <w:rPr>
          <w:sz w:val="22"/>
          <w:szCs w:val="22"/>
        </w:rPr>
        <w:t>scale</w:t>
      </w:r>
      <w:r w:rsidR="005B5BFA" w:rsidRPr="3A656B1C">
        <w:rPr>
          <w:sz w:val="22"/>
          <w:szCs w:val="22"/>
        </w:rPr>
        <w:t xml:space="preserve"> and the </w:t>
      </w:r>
      <w:r w:rsidR="00684EAD" w:rsidRPr="3A656B1C">
        <w:rPr>
          <w:sz w:val="22"/>
          <w:szCs w:val="22"/>
        </w:rPr>
        <w:t>D</w:t>
      </w:r>
      <w:r w:rsidR="00F076D1" w:rsidRPr="3A656B1C">
        <w:rPr>
          <w:sz w:val="22"/>
          <w:szCs w:val="22"/>
        </w:rPr>
        <w:t>I</w:t>
      </w:r>
      <w:r w:rsidR="00684EAD" w:rsidRPr="3A656B1C">
        <w:rPr>
          <w:sz w:val="22"/>
          <w:szCs w:val="22"/>
        </w:rPr>
        <w:t xml:space="preserve"> scale</w:t>
      </w:r>
      <w:r w:rsidR="005B5BFA" w:rsidRPr="3A656B1C">
        <w:rPr>
          <w:sz w:val="22"/>
          <w:szCs w:val="22"/>
        </w:rPr>
        <w:t>, the standard error of the difference</w:t>
      </w:r>
      <w:r w:rsidR="47F4C11E" w:rsidRPr="3A656B1C">
        <w:rPr>
          <w:sz w:val="22"/>
          <w:szCs w:val="22"/>
        </w:rPr>
        <w:t>,</w:t>
      </w:r>
      <w:r w:rsidR="005B5BFA" w:rsidRPr="3A656B1C">
        <w:rPr>
          <w:sz w:val="22"/>
          <w:szCs w:val="22"/>
        </w:rPr>
        <w:t xml:space="preserve"> and indication of statistical significance for each grade</w:t>
      </w:r>
      <w:r w:rsidR="00682870" w:rsidRPr="3A656B1C">
        <w:rPr>
          <w:sz w:val="22"/>
          <w:szCs w:val="22"/>
        </w:rPr>
        <w:t>.</w:t>
      </w:r>
    </w:p>
    <w:p w14:paraId="5152DCFF" w14:textId="5CA25C40" w:rsidR="00057733" w:rsidRDefault="00057733" w:rsidP="00682870">
      <w:pPr>
        <w:rPr>
          <w:rFonts w:ascii="Garamond" w:hAnsi="Garamond"/>
          <w:sz w:val="23"/>
          <w:szCs w:val="23"/>
        </w:rPr>
      </w:pPr>
    </w:p>
    <w:p w14:paraId="5BB9E687" w14:textId="77777777" w:rsidR="00FB234E" w:rsidRDefault="00FB234E" w:rsidP="00682870">
      <w:pPr>
        <w:rPr>
          <w:rFonts w:ascii="Garamond" w:hAnsi="Garamond"/>
          <w:sz w:val="23"/>
          <w:szCs w:val="23"/>
        </w:rPr>
      </w:pPr>
    </w:p>
    <w:p w14:paraId="2D72B83C" w14:textId="77777777" w:rsidR="00D6499A" w:rsidRDefault="00D6499A" w:rsidP="00057733">
      <w:pPr>
        <w:pStyle w:val="Body"/>
        <w:rPr>
          <w:rFonts w:eastAsia="Garamond" w:cs="Garamond"/>
          <w:szCs w:val="23"/>
        </w:rPr>
      </w:pPr>
      <w:r>
        <w:rPr>
          <w:rFonts w:eastAsia="Garamond" w:cs="Garamond"/>
          <w:szCs w:val="23"/>
        </w:rPr>
        <w:br w:type="page"/>
      </w:r>
    </w:p>
    <w:p w14:paraId="3DEAEA72" w14:textId="3D5604ED" w:rsidR="00057733" w:rsidRPr="00D6499A" w:rsidRDefault="00057733" w:rsidP="00057733">
      <w:pPr>
        <w:pStyle w:val="Body"/>
        <w:rPr>
          <w:rFonts w:asciiTheme="minorHAnsi" w:eastAsia="Garamond" w:hAnsiTheme="minorHAnsi" w:cstheme="minorHAnsi"/>
          <w:sz w:val="22"/>
          <w:szCs w:val="23"/>
        </w:rPr>
      </w:pPr>
      <w:r w:rsidRPr="00D6499A">
        <w:rPr>
          <w:rFonts w:asciiTheme="minorHAnsi" w:eastAsia="Garamond" w:hAnsiTheme="minorHAnsi" w:cstheme="minorHAnsi"/>
          <w:sz w:val="22"/>
          <w:szCs w:val="23"/>
        </w:rPr>
        <w:lastRenderedPageBreak/>
        <w:t xml:space="preserve">Table </w:t>
      </w:r>
      <w:r w:rsidR="004F7950" w:rsidRPr="00D6499A">
        <w:rPr>
          <w:rFonts w:asciiTheme="minorHAnsi" w:eastAsia="Garamond" w:hAnsiTheme="minorHAnsi" w:cstheme="minorHAnsi"/>
          <w:sz w:val="22"/>
          <w:szCs w:val="23"/>
        </w:rPr>
        <w:t>5</w:t>
      </w:r>
      <w:r w:rsidR="00D6499A" w:rsidRPr="00D6499A">
        <w:rPr>
          <w:rFonts w:asciiTheme="minorHAnsi" w:eastAsia="Garamond" w:hAnsiTheme="minorHAnsi" w:cstheme="minorHAnsi"/>
          <w:sz w:val="22"/>
          <w:szCs w:val="23"/>
        </w:rPr>
        <w:t xml:space="preserve">.  </w:t>
      </w:r>
      <w:r w:rsidR="00FB0FF3">
        <w:rPr>
          <w:rFonts w:asciiTheme="minorHAnsi" w:eastAsia="Garamond" w:hAnsiTheme="minorHAnsi" w:cstheme="minorHAnsi"/>
          <w:sz w:val="22"/>
          <w:szCs w:val="23"/>
        </w:rPr>
        <w:t>Student group</w:t>
      </w:r>
      <w:r w:rsidRPr="00D6499A">
        <w:rPr>
          <w:rFonts w:asciiTheme="minorHAnsi" w:eastAsia="Garamond" w:hAnsiTheme="minorHAnsi" w:cstheme="minorHAnsi"/>
          <w:sz w:val="22"/>
          <w:szCs w:val="23"/>
        </w:rPr>
        <w:t xml:space="preserve"> scale scores </w:t>
      </w:r>
      <w:r w:rsidR="00825491" w:rsidRPr="00D6499A">
        <w:rPr>
          <w:rFonts w:asciiTheme="minorHAnsi" w:eastAsia="Garamond" w:hAnsiTheme="minorHAnsi" w:cstheme="minorHAnsi"/>
          <w:sz w:val="22"/>
          <w:szCs w:val="23"/>
        </w:rPr>
        <w:t>differences</w:t>
      </w:r>
      <w:r w:rsidRPr="00D6499A">
        <w:rPr>
          <w:rFonts w:asciiTheme="minorHAnsi" w:eastAsia="Garamond" w:hAnsiTheme="minorHAnsi" w:cstheme="minorHAnsi"/>
          <w:sz w:val="22"/>
          <w:szCs w:val="23"/>
        </w:rPr>
        <w:t xml:space="preserve"> for students who took a discrete-only form </w:t>
      </w:r>
      <w:r w:rsidR="00B94EDB" w:rsidRPr="00D6499A">
        <w:rPr>
          <w:rFonts w:asciiTheme="minorHAnsi" w:eastAsia="Garamond" w:hAnsiTheme="minorHAnsi" w:cstheme="minorHAnsi"/>
          <w:sz w:val="22"/>
          <w:szCs w:val="23"/>
        </w:rPr>
        <w:t>compared to</w:t>
      </w:r>
      <w:r w:rsidRPr="00D6499A">
        <w:rPr>
          <w:rFonts w:asciiTheme="minorHAnsi" w:eastAsia="Garamond" w:hAnsiTheme="minorHAnsi" w:cstheme="minorHAnsi"/>
          <w:sz w:val="22"/>
          <w:szCs w:val="23"/>
        </w:rPr>
        <w:t xml:space="preserve"> students who took mixed or SBT-only forms</w:t>
      </w:r>
      <w:r w:rsidR="00825491" w:rsidRPr="00D6499A">
        <w:rPr>
          <w:rFonts w:asciiTheme="minorHAnsi" w:eastAsia="Garamond" w:hAnsiTheme="minorHAnsi" w:cstheme="minorHAnsi"/>
          <w:sz w:val="22"/>
          <w:szCs w:val="23"/>
        </w:rPr>
        <w:t>,</w:t>
      </w:r>
      <w:r w:rsidRPr="00D6499A">
        <w:rPr>
          <w:rFonts w:asciiTheme="minorHAnsi" w:eastAsia="Garamond" w:hAnsiTheme="minorHAnsi" w:cstheme="minorHAnsi"/>
          <w:sz w:val="22"/>
          <w:szCs w:val="23"/>
        </w:rPr>
        <w:t xml:space="preserve"> </w:t>
      </w:r>
      <w:r w:rsidR="00825491" w:rsidRPr="00D6499A">
        <w:rPr>
          <w:rFonts w:asciiTheme="minorHAnsi" w:eastAsia="Garamond" w:hAnsiTheme="minorHAnsi" w:cstheme="minorHAnsi"/>
          <w:sz w:val="22"/>
          <w:szCs w:val="23"/>
        </w:rPr>
        <w:t>a</w:t>
      </w:r>
      <w:r w:rsidR="00684EAD" w:rsidRPr="00D6499A">
        <w:rPr>
          <w:rFonts w:asciiTheme="minorHAnsi" w:eastAsia="Garamond" w:hAnsiTheme="minorHAnsi" w:cstheme="minorHAnsi"/>
          <w:sz w:val="22"/>
          <w:szCs w:val="23"/>
        </w:rPr>
        <w:t>ll grades</w:t>
      </w:r>
    </w:p>
    <w:tbl>
      <w:tblPr>
        <w:tblW w:w="931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1452"/>
        <w:gridCol w:w="629"/>
        <w:gridCol w:w="395"/>
        <w:gridCol w:w="1217"/>
        <w:gridCol w:w="662"/>
        <w:gridCol w:w="341"/>
        <w:gridCol w:w="86"/>
        <w:gridCol w:w="207"/>
        <w:gridCol w:w="1223"/>
        <w:gridCol w:w="607"/>
        <w:gridCol w:w="468"/>
      </w:tblGrid>
      <w:tr w:rsidR="001155B4" w:rsidRPr="00D6499A" w14:paraId="520E1CE4" w14:textId="77777777" w:rsidTr="00ED77AF">
        <w:trPr>
          <w:trHeight w:val="252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56B9" w14:textId="77777777" w:rsidR="00F076D1" w:rsidRPr="00D6499A" w:rsidRDefault="00F076D1" w:rsidP="00F076D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71DB75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Grade 4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FD190E" w14:textId="49646E2B" w:rsidR="00F076D1" w:rsidRPr="00D6499A" w:rsidRDefault="00BF6605" w:rsidP="00BF66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             </w:t>
            </w:r>
            <w:r w:rsidR="00F076D1" w:rsidRPr="00D6499A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Grade 8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B70A2C" w14:textId="51CB5515" w:rsidR="00F076D1" w:rsidRPr="00D6499A" w:rsidRDefault="00BF6605" w:rsidP="00BF66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          </w:t>
            </w:r>
            <w:r w:rsidR="00F076D1" w:rsidRPr="00D6499A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Grade 12</w:t>
            </w:r>
          </w:p>
        </w:tc>
      </w:tr>
      <w:tr w:rsidR="00C45E5D" w:rsidRPr="00D6499A" w14:paraId="52E86034" w14:textId="77777777" w:rsidTr="00ED77AF">
        <w:trPr>
          <w:trHeight w:val="505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7727AE" w14:textId="3E4446C2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S</w:t>
            </w:r>
            <w:r w:rsidR="00FB0FF3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tudent </w:t>
            </w:r>
            <w:r w:rsidRPr="00D6499A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039F150" w14:textId="7CC1BB36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Difference </w:t>
            </w:r>
            <w:r w:rsidR="0075089E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  </w:t>
            </w:r>
            <w:r w:rsidRPr="00D6499A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(SBT-DI)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9EB5F42" w14:textId="6565BE29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SE 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5B2459D" w14:textId="2322E718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3255B51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Difference (SBT-DI)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B2D36F8" w14:textId="1F9EDF03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SE 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0A2D4BD" w14:textId="6036794D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1C807E3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Difference (SBT-DI)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1E37645" w14:textId="60FAAA7D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SE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E3CF0A3" w14:textId="1BFEDCEF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</w:p>
        </w:tc>
      </w:tr>
      <w:tr w:rsidR="00C45E5D" w:rsidRPr="00D6499A" w14:paraId="5E511C3A" w14:textId="77777777" w:rsidTr="00ED77AF">
        <w:trPr>
          <w:trHeight w:val="252"/>
        </w:trPr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7BF8435" w14:textId="77777777" w:rsidR="00F076D1" w:rsidRPr="00D6499A" w:rsidRDefault="00F076D1" w:rsidP="00F076D1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AC83" w14:textId="3D6D9605" w:rsidR="00F076D1" w:rsidRPr="00D6499A" w:rsidRDefault="000942E8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</w:t>
            </w:r>
            <w:r w:rsidR="00F076D1"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-3.24</w:t>
            </w:r>
            <w:r w:rsidR="00154AA3">
              <w:rPr>
                <w:rFonts w:eastAsia="Times New Roman" w:cstheme="minorHAnsi"/>
                <w:color w:val="000000"/>
                <w:sz w:val="22"/>
                <w:szCs w:val="22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ED77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B9D6" w14:textId="07F3CA60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04C9" w14:textId="63A8AE06" w:rsidR="00F076D1" w:rsidRPr="00D6499A" w:rsidRDefault="009A38DE" w:rsidP="009A38DE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  </w:t>
            </w:r>
            <w:r w:rsidR="000942E8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="00C44E7A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="00F076D1"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-3.50</w:t>
            </w:r>
            <w:r w:rsidR="002F5C3E">
              <w:rPr>
                <w:rFonts w:eastAsia="Times New Roman" w:cstheme="minorHAnsi"/>
                <w:color w:val="000000"/>
                <w:sz w:val="22"/>
                <w:szCs w:val="22"/>
              </w:rPr>
              <w:t>*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55C8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AD6D" w14:textId="24D87835" w:rsidR="00F076D1" w:rsidRPr="00D6499A" w:rsidRDefault="00F076D1" w:rsidP="002F5C3E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16BF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-2.10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89A9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DDED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C45E5D" w:rsidRPr="00D6499A" w14:paraId="5EA930C2" w14:textId="77777777" w:rsidTr="00ED77AF">
        <w:trPr>
          <w:trHeight w:val="252"/>
        </w:trPr>
        <w:tc>
          <w:tcPr>
            <w:tcW w:w="2050" w:type="dxa"/>
            <w:shd w:val="clear" w:color="auto" w:fill="auto"/>
            <w:vAlign w:val="bottom"/>
            <w:hideMark/>
          </w:tcPr>
          <w:p w14:paraId="04CEF1B1" w14:textId="77777777" w:rsidR="00F076D1" w:rsidRPr="00D6499A" w:rsidRDefault="00F076D1" w:rsidP="00F076D1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121ACFB2" w14:textId="04B72C78" w:rsidR="00F076D1" w:rsidRPr="00D6499A" w:rsidRDefault="000942E8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 </w:t>
            </w:r>
            <w:r w:rsidR="00F076D1"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3.26</w:t>
            </w:r>
            <w:r w:rsidR="00154AA3">
              <w:rPr>
                <w:rFonts w:eastAsia="Times New Roman" w:cstheme="minorHAnsi"/>
                <w:color w:val="000000"/>
                <w:sz w:val="22"/>
                <w:szCs w:val="22"/>
              </w:rPr>
              <w:t>*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299EA294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14:paraId="45CFC31C" w14:textId="2EA784CA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4E7CDD9E" w14:textId="15BF36DE" w:rsidR="00F076D1" w:rsidRPr="00D6499A" w:rsidRDefault="00F96016" w:rsidP="00F9601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    </w:t>
            </w:r>
            <w:r w:rsidR="00C44E7A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="00F076D1"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3.61</w:t>
            </w:r>
            <w:r w:rsidR="002F5C3E">
              <w:rPr>
                <w:rFonts w:eastAsia="Times New Roman" w:cstheme="minorHAnsi"/>
                <w:color w:val="000000"/>
                <w:sz w:val="22"/>
                <w:szCs w:val="22"/>
              </w:rPr>
              <w:t>*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74EC513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427" w:type="dxa"/>
            <w:gridSpan w:val="2"/>
            <w:shd w:val="clear" w:color="auto" w:fill="auto"/>
            <w:noWrap/>
            <w:vAlign w:val="bottom"/>
            <w:hideMark/>
          </w:tcPr>
          <w:p w14:paraId="13EB391B" w14:textId="1F885F0D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shd w:val="clear" w:color="auto" w:fill="auto"/>
            <w:noWrap/>
            <w:vAlign w:val="bottom"/>
            <w:hideMark/>
          </w:tcPr>
          <w:p w14:paraId="41FA740F" w14:textId="2F76BD5D" w:rsidR="00F076D1" w:rsidRPr="00D6499A" w:rsidRDefault="009F6254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="00F076D1"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434694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14:paraId="6FF78184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C45E5D" w:rsidRPr="00D6499A" w14:paraId="688CB8B2" w14:textId="77777777" w:rsidTr="00ED77AF">
        <w:trPr>
          <w:trHeight w:val="252"/>
        </w:trPr>
        <w:tc>
          <w:tcPr>
            <w:tcW w:w="2050" w:type="dxa"/>
            <w:shd w:val="clear" w:color="auto" w:fill="auto"/>
            <w:vAlign w:val="bottom"/>
            <w:hideMark/>
          </w:tcPr>
          <w:p w14:paraId="34541744" w14:textId="77777777" w:rsidR="00F076D1" w:rsidRPr="00D6499A" w:rsidRDefault="00F076D1" w:rsidP="00F076D1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190D4FBE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-1.50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2EB8DCCE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14:paraId="04FB87D5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4096A44F" w14:textId="65660448" w:rsidR="00F076D1" w:rsidRPr="00D6499A" w:rsidRDefault="00F96016" w:rsidP="00F9601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   </w:t>
            </w:r>
            <w:r w:rsidR="00C44E7A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="00F076D1"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-2.89</w:t>
            </w:r>
            <w:r w:rsidR="002F5C3E">
              <w:rPr>
                <w:rFonts w:eastAsia="Times New Roman" w:cstheme="minorHAnsi"/>
                <w:color w:val="000000"/>
                <w:sz w:val="22"/>
                <w:szCs w:val="22"/>
              </w:rPr>
              <w:t>*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E2A51CC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427" w:type="dxa"/>
            <w:gridSpan w:val="2"/>
            <w:shd w:val="clear" w:color="auto" w:fill="auto"/>
            <w:noWrap/>
            <w:vAlign w:val="bottom"/>
            <w:hideMark/>
          </w:tcPr>
          <w:p w14:paraId="6890FCE9" w14:textId="4DB32860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shd w:val="clear" w:color="auto" w:fill="auto"/>
            <w:noWrap/>
            <w:vAlign w:val="bottom"/>
            <w:hideMark/>
          </w:tcPr>
          <w:p w14:paraId="1D4375F3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-0.21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10B60E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14:paraId="5C251B90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C45E5D" w:rsidRPr="00D6499A" w14:paraId="5C478778" w14:textId="77777777" w:rsidTr="00ED77AF">
        <w:trPr>
          <w:trHeight w:val="252"/>
        </w:trPr>
        <w:tc>
          <w:tcPr>
            <w:tcW w:w="2050" w:type="dxa"/>
            <w:shd w:val="clear" w:color="auto" w:fill="auto"/>
            <w:vAlign w:val="bottom"/>
            <w:hideMark/>
          </w:tcPr>
          <w:p w14:paraId="794F8C6D" w14:textId="77777777" w:rsidR="00F076D1" w:rsidRPr="00D6499A" w:rsidRDefault="00F076D1" w:rsidP="00F076D1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7BCB3505" w14:textId="72973FC8" w:rsidR="00F076D1" w:rsidRPr="00D6499A" w:rsidRDefault="003546DA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="00F076D1"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3DBDF1BC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1.61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14:paraId="3AEF88F2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126588FA" w14:textId="7E7B9091" w:rsidR="00F076D1" w:rsidRPr="00D6499A" w:rsidRDefault="00F96016" w:rsidP="00F9601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    </w:t>
            </w:r>
            <w:r w:rsidR="00C44E7A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="00F076D1"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3.93</w:t>
            </w:r>
            <w:r w:rsidR="002F5C3E">
              <w:rPr>
                <w:rFonts w:eastAsia="Times New Roman" w:cstheme="minorHAnsi"/>
                <w:color w:val="000000"/>
                <w:sz w:val="22"/>
                <w:szCs w:val="22"/>
              </w:rPr>
              <w:t>*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C44A939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1.62</w:t>
            </w:r>
          </w:p>
        </w:tc>
        <w:tc>
          <w:tcPr>
            <w:tcW w:w="427" w:type="dxa"/>
            <w:gridSpan w:val="2"/>
            <w:shd w:val="clear" w:color="auto" w:fill="auto"/>
            <w:noWrap/>
            <w:vAlign w:val="bottom"/>
            <w:hideMark/>
          </w:tcPr>
          <w:p w14:paraId="511CD7B5" w14:textId="6D20BC9F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shd w:val="clear" w:color="auto" w:fill="auto"/>
            <w:noWrap/>
            <w:vAlign w:val="bottom"/>
            <w:hideMark/>
          </w:tcPr>
          <w:p w14:paraId="5A8C1916" w14:textId="794B6D3A" w:rsidR="00F076D1" w:rsidRPr="00D6499A" w:rsidRDefault="009F6254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="00F076D1"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3.70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AB5521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1.76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14:paraId="06EDC1A9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C45E5D" w:rsidRPr="00D6499A" w14:paraId="014E5A80" w14:textId="77777777" w:rsidTr="00ED77AF">
        <w:trPr>
          <w:trHeight w:val="252"/>
        </w:trPr>
        <w:tc>
          <w:tcPr>
            <w:tcW w:w="2050" w:type="dxa"/>
            <w:shd w:val="clear" w:color="auto" w:fill="auto"/>
            <w:vAlign w:val="bottom"/>
            <w:hideMark/>
          </w:tcPr>
          <w:p w14:paraId="15ACC0EF" w14:textId="77777777" w:rsidR="00F076D1" w:rsidRPr="00D6499A" w:rsidRDefault="00F076D1" w:rsidP="00F076D1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1F72541D" w14:textId="075E82BC" w:rsidR="00F076D1" w:rsidRPr="00D6499A" w:rsidRDefault="003546DA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="00F076D1"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0011945C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1.44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14:paraId="3D754D43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5821D3E3" w14:textId="5A801391" w:rsidR="00F076D1" w:rsidRPr="00D6499A" w:rsidRDefault="00F96016" w:rsidP="00F9601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    </w:t>
            </w:r>
            <w:r w:rsidR="00C44E7A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="00F076D1"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3.86</w:t>
            </w:r>
            <w:r w:rsidR="002F5C3E">
              <w:rPr>
                <w:rFonts w:eastAsia="Times New Roman" w:cstheme="minorHAnsi"/>
                <w:color w:val="000000"/>
                <w:sz w:val="22"/>
                <w:szCs w:val="22"/>
              </w:rPr>
              <w:t>*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4CA9D0F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427" w:type="dxa"/>
            <w:gridSpan w:val="2"/>
            <w:shd w:val="clear" w:color="auto" w:fill="auto"/>
            <w:noWrap/>
            <w:vAlign w:val="bottom"/>
            <w:hideMark/>
          </w:tcPr>
          <w:p w14:paraId="0BF80A04" w14:textId="1BF1001F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shd w:val="clear" w:color="auto" w:fill="auto"/>
            <w:noWrap/>
            <w:vAlign w:val="bottom"/>
            <w:hideMark/>
          </w:tcPr>
          <w:p w14:paraId="45A4EC75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101666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14:paraId="7B383559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C45E5D" w:rsidRPr="00D6499A" w14:paraId="7819CBF3" w14:textId="77777777" w:rsidTr="00ED77AF">
        <w:trPr>
          <w:trHeight w:val="252"/>
        </w:trPr>
        <w:tc>
          <w:tcPr>
            <w:tcW w:w="2050" w:type="dxa"/>
            <w:shd w:val="clear" w:color="auto" w:fill="auto"/>
            <w:vAlign w:val="bottom"/>
            <w:hideMark/>
          </w:tcPr>
          <w:p w14:paraId="22215DE7" w14:textId="77777777" w:rsidR="00F076D1" w:rsidRPr="00D6499A" w:rsidRDefault="00F076D1" w:rsidP="00F076D1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751C2F4C" w14:textId="255B848A" w:rsidR="00F076D1" w:rsidRPr="00D6499A" w:rsidRDefault="009F6254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="00F076D1"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3.60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554F6248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3.37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14:paraId="617A3EBE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29C5F004" w14:textId="7B7EBE70" w:rsidR="00F076D1" w:rsidRPr="00D6499A" w:rsidRDefault="009A38DE" w:rsidP="009A38DE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   </w:t>
            </w:r>
            <w:r w:rsidR="006553E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="00F076D1"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-5.39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9959FFF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2.99</w:t>
            </w:r>
          </w:p>
        </w:tc>
        <w:tc>
          <w:tcPr>
            <w:tcW w:w="427" w:type="dxa"/>
            <w:gridSpan w:val="2"/>
            <w:shd w:val="clear" w:color="auto" w:fill="auto"/>
            <w:noWrap/>
            <w:vAlign w:val="bottom"/>
            <w:hideMark/>
          </w:tcPr>
          <w:p w14:paraId="6C27CB9B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bottom"/>
            <w:hideMark/>
          </w:tcPr>
          <w:p w14:paraId="4DBAEE92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-7.03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5F3B39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4.30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14:paraId="3B6FA790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C45E5D" w:rsidRPr="00D6499A" w14:paraId="6504BA21" w14:textId="77777777" w:rsidTr="00ED77AF">
        <w:trPr>
          <w:trHeight w:val="252"/>
        </w:trPr>
        <w:tc>
          <w:tcPr>
            <w:tcW w:w="2050" w:type="dxa"/>
            <w:shd w:val="clear" w:color="auto" w:fill="auto"/>
            <w:vAlign w:val="bottom"/>
            <w:hideMark/>
          </w:tcPr>
          <w:p w14:paraId="45CF33FA" w14:textId="77777777" w:rsidR="00F076D1" w:rsidRPr="00D6499A" w:rsidRDefault="00F076D1" w:rsidP="00F076D1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SD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3909D650" w14:textId="32A2A9DE" w:rsidR="00F076D1" w:rsidRPr="00D6499A" w:rsidRDefault="009F6254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="00F076D1"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3.07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496F8265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14:paraId="55EA3388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14C7D641" w14:textId="21C0B1E7" w:rsidR="00F076D1" w:rsidRPr="00D6499A" w:rsidRDefault="006553E6" w:rsidP="006553E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     </w:t>
            </w:r>
            <w:r w:rsidR="00F076D1"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2.61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1733A07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1.87</w:t>
            </w:r>
          </w:p>
        </w:tc>
        <w:tc>
          <w:tcPr>
            <w:tcW w:w="427" w:type="dxa"/>
            <w:gridSpan w:val="2"/>
            <w:shd w:val="clear" w:color="auto" w:fill="auto"/>
            <w:noWrap/>
            <w:vAlign w:val="bottom"/>
            <w:hideMark/>
          </w:tcPr>
          <w:p w14:paraId="4C860425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bottom"/>
            <w:hideMark/>
          </w:tcPr>
          <w:p w14:paraId="4C59E4F8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-2.24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B1DCA8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2.46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14:paraId="556AD559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C45E5D" w:rsidRPr="00D6499A" w14:paraId="132808BC" w14:textId="77777777" w:rsidTr="00ED77AF">
        <w:trPr>
          <w:trHeight w:val="252"/>
        </w:trPr>
        <w:tc>
          <w:tcPr>
            <w:tcW w:w="2050" w:type="dxa"/>
            <w:shd w:val="clear" w:color="auto" w:fill="auto"/>
            <w:vAlign w:val="bottom"/>
            <w:hideMark/>
          </w:tcPr>
          <w:p w14:paraId="331DE80B" w14:textId="4C17194D" w:rsidR="00F076D1" w:rsidRPr="00D6499A" w:rsidRDefault="00F076D1" w:rsidP="00F076D1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Non</w:t>
            </w:r>
            <w:r w:rsidR="00AC3098">
              <w:rPr>
                <w:rFonts w:eastAsia="Times New Roman" w:cstheme="minorHAnsi"/>
                <w:color w:val="000000"/>
                <w:sz w:val="22"/>
                <w:szCs w:val="22"/>
              </w:rPr>
              <w:t>-</w:t>
            </w: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SD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1D5BC225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-0.73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6433B83E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14:paraId="2F300235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5FD1835E" w14:textId="67CA1D88" w:rsidR="00F076D1" w:rsidRPr="00D6499A" w:rsidRDefault="00F96016" w:rsidP="00F9601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   </w:t>
            </w:r>
            <w:r w:rsidR="00C44E7A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="00F076D1"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-1.01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3A99E5E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427" w:type="dxa"/>
            <w:gridSpan w:val="2"/>
            <w:shd w:val="clear" w:color="auto" w:fill="auto"/>
            <w:noWrap/>
            <w:vAlign w:val="bottom"/>
            <w:hideMark/>
          </w:tcPr>
          <w:p w14:paraId="1D2D413C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bottom"/>
            <w:hideMark/>
          </w:tcPr>
          <w:p w14:paraId="6C2C6067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-0.20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7B45CD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14:paraId="7D31C95F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C45E5D" w:rsidRPr="00D6499A" w14:paraId="1FF0207B" w14:textId="77777777" w:rsidTr="00ED77AF">
        <w:trPr>
          <w:trHeight w:val="252"/>
        </w:trPr>
        <w:tc>
          <w:tcPr>
            <w:tcW w:w="2050" w:type="dxa"/>
            <w:shd w:val="clear" w:color="auto" w:fill="auto"/>
            <w:vAlign w:val="bottom"/>
            <w:hideMark/>
          </w:tcPr>
          <w:p w14:paraId="03CCD718" w14:textId="77777777" w:rsidR="00F076D1" w:rsidRPr="00D6499A" w:rsidRDefault="00F076D1" w:rsidP="00F076D1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EL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64645D01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3.01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7950CC6C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2.05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14:paraId="2BBF3C01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626DB413" w14:textId="7875B745" w:rsidR="00F076D1" w:rsidRPr="00D6499A" w:rsidRDefault="00F96016" w:rsidP="00F9601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     </w:t>
            </w:r>
            <w:r w:rsidR="00F076D1"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9.43</w:t>
            </w:r>
            <w:r w:rsidR="002F5C3E">
              <w:rPr>
                <w:rFonts w:eastAsia="Times New Roman" w:cstheme="minorHAnsi"/>
                <w:color w:val="000000"/>
                <w:sz w:val="22"/>
                <w:szCs w:val="22"/>
              </w:rPr>
              <w:t>*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5A22235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2.37</w:t>
            </w:r>
          </w:p>
        </w:tc>
        <w:tc>
          <w:tcPr>
            <w:tcW w:w="427" w:type="dxa"/>
            <w:gridSpan w:val="2"/>
            <w:shd w:val="clear" w:color="auto" w:fill="auto"/>
            <w:noWrap/>
            <w:vAlign w:val="bottom"/>
            <w:hideMark/>
          </w:tcPr>
          <w:p w14:paraId="580714E8" w14:textId="079E6F85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shd w:val="clear" w:color="auto" w:fill="auto"/>
            <w:noWrap/>
            <w:vAlign w:val="bottom"/>
            <w:hideMark/>
          </w:tcPr>
          <w:p w14:paraId="22B9F754" w14:textId="5DAA3F1B" w:rsidR="00F076D1" w:rsidRPr="00D6499A" w:rsidRDefault="009F6254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="00F076D1"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4.45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520C55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3.12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14:paraId="0DB00946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C45E5D" w:rsidRPr="00D6499A" w14:paraId="283DC1B0" w14:textId="77777777" w:rsidTr="00ED77AF">
        <w:trPr>
          <w:trHeight w:val="252"/>
        </w:trPr>
        <w:tc>
          <w:tcPr>
            <w:tcW w:w="2050" w:type="dxa"/>
            <w:shd w:val="clear" w:color="auto" w:fill="auto"/>
            <w:vAlign w:val="bottom"/>
            <w:hideMark/>
          </w:tcPr>
          <w:p w14:paraId="533E786E" w14:textId="048B12A7" w:rsidR="00F076D1" w:rsidRPr="00D6499A" w:rsidRDefault="00F076D1" w:rsidP="00F076D1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Non</w:t>
            </w:r>
            <w:r w:rsidR="00AC3098">
              <w:rPr>
                <w:rFonts w:eastAsia="Times New Roman" w:cstheme="minorHAnsi"/>
                <w:color w:val="000000"/>
                <w:sz w:val="22"/>
                <w:szCs w:val="22"/>
              </w:rPr>
              <w:t>-</w:t>
            </w: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EL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1E9F063B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-0.62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55BEB8FC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14:paraId="10CB7431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68352AB4" w14:textId="3265C920" w:rsidR="00F076D1" w:rsidRPr="00D6499A" w:rsidRDefault="00F96016" w:rsidP="00F9601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    </w:t>
            </w:r>
            <w:r w:rsidR="00F076D1"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-0.69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AB4305A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427" w:type="dxa"/>
            <w:gridSpan w:val="2"/>
            <w:shd w:val="clear" w:color="auto" w:fill="auto"/>
            <w:noWrap/>
            <w:vAlign w:val="bottom"/>
            <w:hideMark/>
          </w:tcPr>
          <w:p w14:paraId="4DAFDB4A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bottom"/>
            <w:hideMark/>
          </w:tcPr>
          <w:p w14:paraId="6E7C839E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-0.29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D22728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14:paraId="4E34EC97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C45E5D" w:rsidRPr="00D6499A" w14:paraId="14339DF2" w14:textId="77777777" w:rsidTr="00ED77AF">
        <w:trPr>
          <w:trHeight w:val="252"/>
        </w:trPr>
        <w:tc>
          <w:tcPr>
            <w:tcW w:w="2050" w:type="dxa"/>
            <w:tcBorders>
              <w:bottom w:val="nil"/>
            </w:tcBorders>
            <w:shd w:val="clear" w:color="auto" w:fill="auto"/>
            <w:vAlign w:val="bottom"/>
            <w:hideMark/>
          </w:tcPr>
          <w:p w14:paraId="4C3496B4" w14:textId="7C3F3817" w:rsidR="00F076D1" w:rsidRPr="00D6499A" w:rsidRDefault="00A76B85" w:rsidP="00F076D1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Eligible for NSLP</w:t>
            </w:r>
          </w:p>
        </w:tc>
        <w:tc>
          <w:tcPr>
            <w:tcW w:w="14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8646D1" w14:textId="6D7A4964" w:rsidR="00F076D1" w:rsidRPr="00D6499A" w:rsidRDefault="003546DA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="00F076D1"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62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578814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39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0C6466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1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D745DB8" w14:textId="1B6B07B4" w:rsidR="00F076D1" w:rsidRPr="00D6499A" w:rsidRDefault="00F96016" w:rsidP="00F9601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     </w:t>
            </w:r>
            <w:r w:rsidR="00F076D1"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1.71</w:t>
            </w:r>
          </w:p>
        </w:tc>
        <w:tc>
          <w:tcPr>
            <w:tcW w:w="66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43C2C51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42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37CFC69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43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EC31F2" w14:textId="6743E485" w:rsidR="00F076D1" w:rsidRPr="00D6499A" w:rsidRDefault="009F6254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="00F076D1"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5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C44D6AD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46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7EC6271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C45E5D" w:rsidRPr="00D6499A" w14:paraId="47D427E7" w14:textId="77777777" w:rsidTr="00ED77AF">
        <w:trPr>
          <w:trHeight w:val="252"/>
        </w:trPr>
        <w:tc>
          <w:tcPr>
            <w:tcW w:w="205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01BA308" w14:textId="6594D0F2" w:rsidR="00F076D1" w:rsidRPr="00D6499A" w:rsidRDefault="00A76B85" w:rsidP="00F076D1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Not eligible for NSLP</w:t>
            </w:r>
          </w:p>
        </w:tc>
        <w:tc>
          <w:tcPr>
            <w:tcW w:w="14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265F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-0.86</w:t>
            </w:r>
          </w:p>
        </w:tc>
        <w:tc>
          <w:tcPr>
            <w:tcW w:w="6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FAC1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3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9BB2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F6D8" w14:textId="036F6954" w:rsidR="00F076D1" w:rsidRPr="00D6499A" w:rsidRDefault="00F96016" w:rsidP="00F9601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    </w:t>
            </w:r>
            <w:r w:rsidR="00F076D1"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-1.59</w:t>
            </w:r>
          </w:p>
        </w:tc>
        <w:tc>
          <w:tcPr>
            <w:tcW w:w="6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ADFC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4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7D94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4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7939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-0.99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4D1D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4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F6FF" w14:textId="77777777" w:rsidR="00F076D1" w:rsidRPr="00D6499A" w:rsidRDefault="00F076D1" w:rsidP="00F076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6499A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47B5F86A" w14:textId="6498B8FB" w:rsidR="00057733" w:rsidRPr="009C5B9C" w:rsidRDefault="001C6595" w:rsidP="4C34B60F">
      <w:pPr>
        <w:pStyle w:val="Body"/>
        <w:spacing w:before="0" w:after="0"/>
        <w:contextualSpacing/>
        <w:rPr>
          <w:rFonts w:asciiTheme="minorHAnsi" w:eastAsia="Garamond" w:hAnsiTheme="minorHAnsi" w:cstheme="minorBidi"/>
          <w:sz w:val="20"/>
          <w:szCs w:val="22"/>
        </w:rPr>
      </w:pPr>
      <w:r w:rsidRPr="009C5B9C">
        <w:rPr>
          <w:rFonts w:asciiTheme="minorHAnsi" w:eastAsia="Garamond" w:hAnsiTheme="minorHAnsi" w:cstheme="minorBidi"/>
          <w:sz w:val="20"/>
          <w:szCs w:val="22"/>
        </w:rPr>
        <w:t>NOTE:  SD = Students identified as students with disabilities; EL = English learners</w:t>
      </w:r>
      <w:r w:rsidR="00A76B85" w:rsidRPr="009C5B9C">
        <w:rPr>
          <w:rFonts w:asciiTheme="minorHAnsi" w:eastAsia="Garamond" w:hAnsiTheme="minorHAnsi" w:cstheme="minorBidi"/>
          <w:sz w:val="20"/>
          <w:szCs w:val="22"/>
        </w:rPr>
        <w:t>; NSLP = National School Lunch Program.</w:t>
      </w:r>
    </w:p>
    <w:p w14:paraId="7CA52FAD" w14:textId="7A681046" w:rsidR="00057733" w:rsidRPr="00344D0F" w:rsidRDefault="00344D0F" w:rsidP="00057733">
      <w:pPr>
        <w:rPr>
          <w:rFonts w:cstheme="minorHAnsi"/>
          <w:sz w:val="16"/>
        </w:rPr>
      </w:pPr>
      <w:r w:rsidRPr="00344D0F">
        <w:rPr>
          <w:rFonts w:eastAsia="Times New Roman"/>
          <w:sz w:val="20"/>
          <w:szCs w:val="24"/>
        </w:rPr>
        <w:t>*Significant difference (</w:t>
      </w:r>
      <w:r w:rsidRPr="00344D0F">
        <w:rPr>
          <w:rFonts w:eastAsia="Times New Roman"/>
          <w:i/>
          <w:sz w:val="20"/>
          <w:szCs w:val="24"/>
        </w:rPr>
        <w:t>p</w:t>
      </w:r>
      <w:r w:rsidRPr="00344D0F">
        <w:rPr>
          <w:rFonts w:eastAsia="Times New Roman"/>
          <w:sz w:val="20"/>
          <w:szCs w:val="24"/>
        </w:rPr>
        <w:t xml:space="preserve"> &lt; .05)</w:t>
      </w:r>
    </w:p>
    <w:p w14:paraId="2C7EFCD7" w14:textId="77777777" w:rsidR="009C1ECF" w:rsidRPr="00B343BE" w:rsidRDefault="009C1ECF" w:rsidP="00682870">
      <w:pPr>
        <w:rPr>
          <w:rFonts w:asciiTheme="majorHAnsi" w:hAnsiTheme="majorHAnsi" w:cstheme="majorHAnsi"/>
          <w:b/>
          <w:sz w:val="22"/>
          <w:szCs w:val="22"/>
        </w:rPr>
      </w:pPr>
    </w:p>
    <w:p w14:paraId="682308AA" w14:textId="1EB68119" w:rsidR="00057733" w:rsidRPr="009C1ECF" w:rsidRDefault="00057733" w:rsidP="00682870">
      <w:pPr>
        <w:rPr>
          <w:rFonts w:asciiTheme="majorHAnsi" w:hAnsiTheme="majorHAnsi" w:cstheme="majorHAnsi"/>
          <w:b/>
          <w:sz w:val="31"/>
          <w:szCs w:val="31"/>
        </w:rPr>
      </w:pPr>
      <w:r w:rsidRPr="009C1ECF">
        <w:rPr>
          <w:rFonts w:asciiTheme="majorHAnsi" w:hAnsiTheme="majorHAnsi" w:cstheme="majorHAnsi"/>
          <w:b/>
          <w:sz w:val="31"/>
          <w:szCs w:val="31"/>
        </w:rPr>
        <w:t>Key results:</w:t>
      </w:r>
      <w:bookmarkStart w:id="0" w:name="_GoBack"/>
      <w:bookmarkEnd w:id="0"/>
    </w:p>
    <w:p w14:paraId="231055AD" w14:textId="743FB7BE" w:rsidR="00682870" w:rsidRPr="003C0AFB" w:rsidRDefault="00682870" w:rsidP="00682870">
      <w:pPr>
        <w:pStyle w:val="ListParagraph"/>
        <w:numPr>
          <w:ilvl w:val="0"/>
          <w:numId w:val="44"/>
        </w:numPr>
        <w:rPr>
          <w:rFonts w:cstheme="minorHAnsi"/>
          <w:szCs w:val="23"/>
        </w:rPr>
      </w:pPr>
      <w:r w:rsidRPr="003C0AFB">
        <w:rPr>
          <w:rFonts w:cstheme="minorHAnsi"/>
          <w:szCs w:val="23"/>
        </w:rPr>
        <w:t>Significant scale score differences are present for male and female groups at grades 4 and 8. Male student perform</w:t>
      </w:r>
      <w:r w:rsidR="003A7FBC">
        <w:rPr>
          <w:rFonts w:cstheme="minorHAnsi"/>
          <w:szCs w:val="23"/>
        </w:rPr>
        <w:t xml:space="preserve">ance </w:t>
      </w:r>
      <w:r w:rsidRPr="003C0AFB">
        <w:rPr>
          <w:rFonts w:cstheme="minorHAnsi"/>
          <w:szCs w:val="23"/>
        </w:rPr>
        <w:t>on the SBT scale</w:t>
      </w:r>
      <w:r w:rsidR="003A7FBC">
        <w:rPr>
          <w:rFonts w:cstheme="minorHAnsi"/>
          <w:szCs w:val="23"/>
        </w:rPr>
        <w:t xml:space="preserve"> was lower</w:t>
      </w:r>
      <w:r w:rsidRPr="003C0AFB">
        <w:rPr>
          <w:rFonts w:cstheme="minorHAnsi"/>
          <w:szCs w:val="23"/>
        </w:rPr>
        <w:t xml:space="preserve"> compared to the discrete scale, while female student perform</w:t>
      </w:r>
      <w:r w:rsidR="003A7FBC">
        <w:rPr>
          <w:rFonts w:cstheme="minorHAnsi"/>
          <w:szCs w:val="23"/>
        </w:rPr>
        <w:t xml:space="preserve">ance was higher </w:t>
      </w:r>
      <w:r w:rsidRPr="003C0AFB">
        <w:rPr>
          <w:rFonts w:cstheme="minorHAnsi"/>
          <w:szCs w:val="23"/>
        </w:rPr>
        <w:t>on the SBT scale</w:t>
      </w:r>
      <w:r w:rsidR="009923C1">
        <w:rPr>
          <w:rFonts w:cstheme="minorHAnsi"/>
          <w:szCs w:val="23"/>
        </w:rPr>
        <w:t xml:space="preserve"> compared to the discrete scale</w:t>
      </w:r>
      <w:r w:rsidRPr="003C0AFB">
        <w:rPr>
          <w:rFonts w:cstheme="minorHAnsi"/>
          <w:szCs w:val="23"/>
        </w:rPr>
        <w:t xml:space="preserve">. The absolute magnitude of the differences for the gender groups are between </w:t>
      </w:r>
      <w:r w:rsidR="002159B1" w:rsidRPr="003C0AFB">
        <w:rPr>
          <w:rFonts w:cstheme="minorHAnsi"/>
          <w:szCs w:val="23"/>
        </w:rPr>
        <w:t>three and four</w:t>
      </w:r>
      <w:r w:rsidRPr="003C0AFB">
        <w:rPr>
          <w:rFonts w:cstheme="minorHAnsi"/>
          <w:szCs w:val="23"/>
        </w:rPr>
        <w:t xml:space="preserve"> scale score points.</w:t>
      </w:r>
    </w:p>
    <w:p w14:paraId="44B38140" w14:textId="0FFAACDD" w:rsidR="00682870" w:rsidRPr="003C0AFB" w:rsidRDefault="00682870" w:rsidP="4C34B60F">
      <w:pPr>
        <w:pStyle w:val="ListParagraph"/>
        <w:numPr>
          <w:ilvl w:val="0"/>
          <w:numId w:val="44"/>
        </w:numPr>
      </w:pPr>
      <w:r w:rsidRPr="4C34B60F">
        <w:t xml:space="preserve">Additionally, at grade 8, significant differences in scale scores </w:t>
      </w:r>
      <w:r w:rsidR="00E068D3">
        <w:t>a</w:t>
      </w:r>
      <w:r w:rsidRPr="4C34B60F">
        <w:t xml:space="preserve">re observed for White, Black, </w:t>
      </w:r>
      <w:r w:rsidR="1D0174AD" w:rsidRPr="4C34B60F">
        <w:t xml:space="preserve">and </w:t>
      </w:r>
      <w:r w:rsidRPr="4C34B60F">
        <w:t>Hispanic students as well as for English learners. White student perform</w:t>
      </w:r>
      <w:r w:rsidR="009923C1">
        <w:t>ance was lower</w:t>
      </w:r>
      <w:r w:rsidRPr="4C34B60F">
        <w:t xml:space="preserve"> on the SBT scale</w:t>
      </w:r>
      <w:r w:rsidR="009923C1">
        <w:t xml:space="preserve"> compared to the discrete scale</w:t>
      </w:r>
      <w:r w:rsidR="27B09437" w:rsidRPr="4C34B60F">
        <w:t>,</w:t>
      </w:r>
      <w:r w:rsidRPr="4C34B60F">
        <w:t xml:space="preserve"> </w:t>
      </w:r>
      <w:r w:rsidR="0C2DA722" w:rsidRPr="4C34B60F">
        <w:t>whereas</w:t>
      </w:r>
      <w:r w:rsidRPr="4C34B60F">
        <w:t xml:space="preserve"> Black, Hispanic, and English learner students </w:t>
      </w:r>
      <w:r w:rsidR="009923C1">
        <w:t xml:space="preserve">had higher </w:t>
      </w:r>
      <w:r w:rsidRPr="4C34B60F">
        <w:t>perform</w:t>
      </w:r>
      <w:r w:rsidR="009923C1">
        <w:t>ance</w:t>
      </w:r>
      <w:r w:rsidRPr="4C34B60F">
        <w:t xml:space="preserve"> on the SBT scale</w:t>
      </w:r>
      <w:r w:rsidR="009923C1">
        <w:t xml:space="preserve"> compared to the discrete scale</w:t>
      </w:r>
      <w:r w:rsidRPr="4C34B60F">
        <w:t>. For those s</w:t>
      </w:r>
      <w:r w:rsidR="00FB0FF3">
        <w:t xml:space="preserve">tudent </w:t>
      </w:r>
      <w:r w:rsidRPr="4C34B60F">
        <w:t xml:space="preserve">groups where significant differences in scale scores are present, the absolute magnitude of the differences for the gender groups is </w:t>
      </w:r>
      <w:r w:rsidR="002159B1" w:rsidRPr="4C34B60F">
        <w:t>three</w:t>
      </w:r>
      <w:r w:rsidRPr="4C34B60F">
        <w:t xml:space="preserve"> scale score points or higher.</w:t>
      </w:r>
    </w:p>
    <w:p w14:paraId="35723EF4" w14:textId="3FC5C0A1" w:rsidR="00682870" w:rsidRPr="003C0AFB" w:rsidRDefault="00682870" w:rsidP="00682870">
      <w:pPr>
        <w:pStyle w:val="ListParagraph"/>
        <w:numPr>
          <w:ilvl w:val="0"/>
          <w:numId w:val="44"/>
        </w:numPr>
        <w:rPr>
          <w:rFonts w:cstheme="minorHAnsi"/>
          <w:szCs w:val="23"/>
        </w:rPr>
      </w:pPr>
      <w:r w:rsidRPr="003C0AFB">
        <w:rPr>
          <w:rFonts w:cstheme="minorHAnsi"/>
          <w:szCs w:val="23"/>
        </w:rPr>
        <w:t xml:space="preserve">There </w:t>
      </w:r>
      <w:r w:rsidR="001E0AEC">
        <w:rPr>
          <w:rFonts w:cstheme="minorHAnsi"/>
          <w:szCs w:val="23"/>
        </w:rPr>
        <w:t>are</w:t>
      </w:r>
      <w:r w:rsidRPr="003C0AFB">
        <w:rPr>
          <w:rFonts w:cstheme="minorHAnsi"/>
          <w:szCs w:val="23"/>
        </w:rPr>
        <w:t xml:space="preserve"> no significant differences observed at grade 12. </w:t>
      </w:r>
    </w:p>
    <w:p w14:paraId="0C6B8785" w14:textId="77777777" w:rsidR="009C1ECF" w:rsidRPr="00B343BE" w:rsidRDefault="009C1ECF" w:rsidP="00682870">
      <w:pPr>
        <w:rPr>
          <w:rFonts w:asciiTheme="majorHAnsi" w:hAnsiTheme="majorHAnsi" w:cstheme="majorHAnsi"/>
          <w:b/>
          <w:sz w:val="22"/>
          <w:szCs w:val="22"/>
        </w:rPr>
      </w:pPr>
    </w:p>
    <w:p w14:paraId="62D44A04" w14:textId="4BA823A0" w:rsidR="00682870" w:rsidRPr="009C1ECF" w:rsidRDefault="00682870" w:rsidP="00682870">
      <w:pPr>
        <w:rPr>
          <w:rFonts w:asciiTheme="majorHAnsi" w:hAnsiTheme="majorHAnsi" w:cstheme="majorHAnsi"/>
          <w:b/>
          <w:sz w:val="31"/>
          <w:szCs w:val="31"/>
        </w:rPr>
      </w:pPr>
      <w:r w:rsidRPr="009C1ECF">
        <w:rPr>
          <w:rFonts w:asciiTheme="majorHAnsi" w:hAnsiTheme="majorHAnsi" w:cstheme="majorHAnsi"/>
          <w:b/>
          <w:sz w:val="31"/>
          <w:szCs w:val="31"/>
        </w:rPr>
        <w:t>Summary</w:t>
      </w:r>
    </w:p>
    <w:p w14:paraId="0528712B" w14:textId="612640FC" w:rsidR="00682870" w:rsidRPr="003C0AFB" w:rsidRDefault="00846D4F" w:rsidP="00682870">
      <w:pPr>
        <w:rPr>
          <w:rFonts w:cstheme="minorHAnsi"/>
          <w:sz w:val="22"/>
          <w:szCs w:val="23"/>
        </w:rPr>
      </w:pPr>
      <w:r w:rsidRPr="003C0AFB">
        <w:rPr>
          <w:rFonts w:cstheme="minorHAnsi"/>
          <w:sz w:val="22"/>
          <w:szCs w:val="23"/>
        </w:rPr>
        <w:t>Based upon the analyses just described, t</w:t>
      </w:r>
      <w:r w:rsidR="00682870" w:rsidRPr="003C0AFB">
        <w:rPr>
          <w:rFonts w:cstheme="minorHAnsi"/>
          <w:sz w:val="22"/>
          <w:szCs w:val="23"/>
        </w:rPr>
        <w:t xml:space="preserve">he following conclusions about the 2019 DBA </w:t>
      </w:r>
      <w:r w:rsidR="0064259A" w:rsidRPr="003C0AFB">
        <w:rPr>
          <w:rFonts w:cstheme="minorHAnsi"/>
          <w:sz w:val="22"/>
          <w:szCs w:val="23"/>
        </w:rPr>
        <w:t>s</w:t>
      </w:r>
      <w:r w:rsidR="00682870" w:rsidRPr="003C0AFB">
        <w:rPr>
          <w:rFonts w:cstheme="minorHAnsi"/>
          <w:sz w:val="22"/>
          <w:szCs w:val="23"/>
        </w:rPr>
        <w:t xml:space="preserve">cience data are drawn </w:t>
      </w:r>
      <w:r w:rsidR="00485DC7" w:rsidRPr="003C0AFB">
        <w:rPr>
          <w:rFonts w:cstheme="minorHAnsi"/>
          <w:sz w:val="22"/>
          <w:szCs w:val="23"/>
        </w:rPr>
        <w:t xml:space="preserve">about </w:t>
      </w:r>
      <w:r w:rsidR="00682870" w:rsidRPr="003C0AFB">
        <w:rPr>
          <w:rFonts w:cstheme="minorHAnsi"/>
          <w:sz w:val="22"/>
          <w:szCs w:val="23"/>
        </w:rPr>
        <w:t xml:space="preserve">the SBT integration evaluation: </w:t>
      </w:r>
    </w:p>
    <w:p w14:paraId="7B8A3FCE" w14:textId="1E71CA64" w:rsidR="00682870" w:rsidRPr="003C0AFB" w:rsidRDefault="00E11EC9" w:rsidP="00682870">
      <w:pPr>
        <w:pStyle w:val="ListParagraph"/>
        <w:numPr>
          <w:ilvl w:val="0"/>
          <w:numId w:val="43"/>
        </w:numPr>
        <w:rPr>
          <w:rFonts w:cstheme="minorHAnsi"/>
          <w:szCs w:val="23"/>
        </w:rPr>
      </w:pPr>
      <w:r w:rsidRPr="003C0AFB">
        <w:rPr>
          <w:rFonts w:cstheme="minorHAnsi"/>
          <w:szCs w:val="23"/>
        </w:rPr>
        <w:t xml:space="preserve">Unidimensional models appear to be sufficient in modeling the </w:t>
      </w:r>
      <w:r w:rsidR="008F579F" w:rsidRPr="003C0AFB">
        <w:rPr>
          <w:rFonts w:cstheme="minorHAnsi"/>
          <w:szCs w:val="23"/>
        </w:rPr>
        <w:t xml:space="preserve">2019 DBA data with SBTs integrated. </w:t>
      </w:r>
      <w:r w:rsidR="00682870" w:rsidRPr="003C0AFB">
        <w:rPr>
          <w:rFonts w:cstheme="minorHAnsi"/>
          <w:szCs w:val="23"/>
        </w:rPr>
        <w:t xml:space="preserve"> </w:t>
      </w:r>
    </w:p>
    <w:p w14:paraId="01BEC317" w14:textId="4E0502D7" w:rsidR="00682870" w:rsidRPr="003C0AFB" w:rsidRDefault="00682870" w:rsidP="4C34B60F">
      <w:pPr>
        <w:pStyle w:val="ListParagraph"/>
        <w:numPr>
          <w:ilvl w:val="0"/>
          <w:numId w:val="43"/>
        </w:numPr>
      </w:pPr>
      <w:r w:rsidRPr="4C34B60F">
        <w:t xml:space="preserve">For the </w:t>
      </w:r>
      <w:r w:rsidR="005A701D" w:rsidRPr="4C34B60F">
        <w:t>NAEP</w:t>
      </w:r>
      <w:r w:rsidRPr="4C34B60F">
        <w:t xml:space="preserve"> main reporting </w:t>
      </w:r>
      <w:r w:rsidR="00485DC7" w:rsidRPr="4C34B60F">
        <w:t>s</w:t>
      </w:r>
      <w:r w:rsidR="00FB0FF3">
        <w:t xml:space="preserve">tudent </w:t>
      </w:r>
      <w:r w:rsidR="00485DC7" w:rsidRPr="4C34B60F">
        <w:t>groups</w:t>
      </w:r>
      <w:r w:rsidRPr="4C34B60F">
        <w:t>, no substantive differences in s</w:t>
      </w:r>
      <w:r w:rsidR="00FB0FF3">
        <w:t xml:space="preserve">tudent </w:t>
      </w:r>
      <w:r w:rsidRPr="4C34B60F">
        <w:t xml:space="preserve">group means </w:t>
      </w:r>
      <w:r w:rsidR="00485DC7" w:rsidRPr="4C34B60F">
        <w:t xml:space="preserve">were observed </w:t>
      </w:r>
      <w:r w:rsidR="009C0F2F" w:rsidRPr="4C34B60F">
        <w:t>when</w:t>
      </w:r>
      <w:r w:rsidRPr="4C34B60F">
        <w:t xml:space="preserve"> SBTs were included</w:t>
      </w:r>
      <w:r w:rsidR="00485DC7" w:rsidRPr="4C34B60F">
        <w:t>,</w:t>
      </w:r>
      <w:r w:rsidRPr="4C34B60F">
        <w:t xml:space="preserve"> </w:t>
      </w:r>
      <w:r w:rsidR="009C0F2F" w:rsidRPr="4C34B60F">
        <w:t>compared to when</w:t>
      </w:r>
      <w:r w:rsidRPr="4C34B60F">
        <w:t xml:space="preserve"> SBTs were excluded</w:t>
      </w:r>
      <w:r w:rsidR="00485DC7" w:rsidRPr="4C34B60F">
        <w:t xml:space="preserve"> from the analysis</w:t>
      </w:r>
      <w:r w:rsidR="00DB1A7E" w:rsidRPr="4C34B60F">
        <w:t>.</w:t>
      </w:r>
      <w:r w:rsidRPr="4C34B60F">
        <w:t xml:space="preserve"> These results provide support for including the SBTs in the 2019 science analysis and reporting. </w:t>
      </w:r>
    </w:p>
    <w:p w14:paraId="0E4F0993" w14:textId="4C1D0D12" w:rsidR="00682870" w:rsidRPr="003C0AFB" w:rsidRDefault="00682870" w:rsidP="00682870">
      <w:pPr>
        <w:pStyle w:val="ListParagraph"/>
        <w:numPr>
          <w:ilvl w:val="0"/>
          <w:numId w:val="43"/>
        </w:numPr>
        <w:rPr>
          <w:rFonts w:eastAsiaTheme="minorEastAsia" w:cstheme="minorHAnsi"/>
          <w:szCs w:val="23"/>
        </w:rPr>
      </w:pPr>
      <w:r w:rsidRPr="003C0AFB">
        <w:rPr>
          <w:rFonts w:cstheme="minorHAnsi"/>
          <w:szCs w:val="23"/>
        </w:rPr>
        <w:lastRenderedPageBreak/>
        <w:t xml:space="preserve">When directly comparing the </w:t>
      </w:r>
      <w:r w:rsidR="006C2BFB" w:rsidRPr="003C0AFB">
        <w:rPr>
          <w:rFonts w:cstheme="minorHAnsi"/>
          <w:szCs w:val="23"/>
        </w:rPr>
        <w:t>s</w:t>
      </w:r>
      <w:r w:rsidR="00FB0FF3">
        <w:rPr>
          <w:rFonts w:cstheme="minorHAnsi"/>
          <w:szCs w:val="23"/>
        </w:rPr>
        <w:t xml:space="preserve">tudent </w:t>
      </w:r>
      <w:r w:rsidR="006C2BFB" w:rsidRPr="003C0AFB">
        <w:rPr>
          <w:rFonts w:cstheme="minorHAnsi"/>
          <w:szCs w:val="23"/>
        </w:rPr>
        <w:t xml:space="preserve">group </w:t>
      </w:r>
      <w:r w:rsidRPr="003C0AFB">
        <w:rPr>
          <w:rFonts w:cstheme="minorHAnsi"/>
          <w:szCs w:val="23"/>
        </w:rPr>
        <w:t>score</w:t>
      </w:r>
      <w:r w:rsidR="006C2BFB" w:rsidRPr="003C0AFB">
        <w:rPr>
          <w:rFonts w:cstheme="minorHAnsi"/>
          <w:szCs w:val="23"/>
        </w:rPr>
        <w:t>s</w:t>
      </w:r>
      <w:r w:rsidRPr="003C0AFB">
        <w:rPr>
          <w:rFonts w:cstheme="minorHAnsi"/>
          <w:szCs w:val="23"/>
        </w:rPr>
        <w:t xml:space="preserve"> of students who took mixed or SBT-only form</w:t>
      </w:r>
      <w:r w:rsidR="002C74CC" w:rsidRPr="003C0AFB">
        <w:rPr>
          <w:rFonts w:cstheme="minorHAnsi"/>
          <w:szCs w:val="23"/>
        </w:rPr>
        <w:t>s</w:t>
      </w:r>
      <w:r w:rsidRPr="003C0AFB">
        <w:rPr>
          <w:rFonts w:cstheme="minorHAnsi"/>
          <w:szCs w:val="23"/>
        </w:rPr>
        <w:t xml:space="preserve"> to the </w:t>
      </w:r>
      <w:r w:rsidR="002C74CC" w:rsidRPr="003C0AFB">
        <w:rPr>
          <w:rFonts w:cstheme="minorHAnsi"/>
          <w:szCs w:val="23"/>
        </w:rPr>
        <w:t>s</w:t>
      </w:r>
      <w:r w:rsidR="00FB0FF3">
        <w:rPr>
          <w:rFonts w:cstheme="minorHAnsi"/>
          <w:szCs w:val="23"/>
        </w:rPr>
        <w:t xml:space="preserve">tudent </w:t>
      </w:r>
      <w:r w:rsidR="002C74CC" w:rsidRPr="003C0AFB">
        <w:rPr>
          <w:rFonts w:cstheme="minorHAnsi"/>
          <w:szCs w:val="23"/>
        </w:rPr>
        <w:t xml:space="preserve">group </w:t>
      </w:r>
      <w:r w:rsidRPr="003C0AFB">
        <w:rPr>
          <w:rFonts w:cstheme="minorHAnsi"/>
          <w:szCs w:val="23"/>
        </w:rPr>
        <w:t>score</w:t>
      </w:r>
      <w:r w:rsidR="002C74CC" w:rsidRPr="003C0AFB">
        <w:rPr>
          <w:rFonts w:cstheme="minorHAnsi"/>
          <w:szCs w:val="23"/>
        </w:rPr>
        <w:t>s</w:t>
      </w:r>
      <w:r w:rsidRPr="003C0AFB">
        <w:rPr>
          <w:rFonts w:cstheme="minorHAnsi"/>
          <w:szCs w:val="23"/>
        </w:rPr>
        <w:t xml:space="preserve"> for those who took discrete-only form</w:t>
      </w:r>
      <w:r w:rsidR="00F173EF" w:rsidRPr="003C0AFB">
        <w:rPr>
          <w:rFonts w:cstheme="minorHAnsi"/>
          <w:szCs w:val="23"/>
        </w:rPr>
        <w:t>s</w:t>
      </w:r>
      <w:r w:rsidRPr="003C0AFB">
        <w:rPr>
          <w:rFonts w:cstheme="minorHAnsi"/>
          <w:szCs w:val="23"/>
        </w:rPr>
        <w:t xml:space="preserve">, </w:t>
      </w:r>
      <w:r w:rsidR="00485DC7" w:rsidRPr="003C0AFB">
        <w:rPr>
          <w:rFonts w:cstheme="minorHAnsi"/>
          <w:szCs w:val="23"/>
        </w:rPr>
        <w:t xml:space="preserve">some </w:t>
      </w:r>
      <w:r w:rsidRPr="003C0AFB">
        <w:rPr>
          <w:rFonts w:cstheme="minorHAnsi"/>
          <w:szCs w:val="23"/>
        </w:rPr>
        <w:t>numerically larger and statistically significant scale score differences between s</w:t>
      </w:r>
      <w:r w:rsidR="00FB0FF3">
        <w:rPr>
          <w:rFonts w:cstheme="minorHAnsi"/>
          <w:szCs w:val="23"/>
        </w:rPr>
        <w:t xml:space="preserve">tudent </w:t>
      </w:r>
      <w:r w:rsidRPr="003C0AFB">
        <w:rPr>
          <w:rFonts w:cstheme="minorHAnsi"/>
          <w:szCs w:val="23"/>
        </w:rPr>
        <w:t>groups emerged.</w:t>
      </w:r>
    </w:p>
    <w:p w14:paraId="092EF312" w14:textId="4FD39EC9" w:rsidR="00682870" w:rsidRPr="003C0AFB" w:rsidRDefault="00682870" w:rsidP="4C34B60F">
      <w:pPr>
        <w:rPr>
          <w:sz w:val="22"/>
          <w:szCs w:val="22"/>
        </w:rPr>
      </w:pPr>
      <w:r w:rsidRPr="4C34B60F">
        <w:rPr>
          <w:sz w:val="22"/>
          <w:szCs w:val="22"/>
        </w:rPr>
        <w:t>The two sets of s</w:t>
      </w:r>
      <w:r w:rsidR="00FB0FF3">
        <w:rPr>
          <w:sz w:val="22"/>
          <w:szCs w:val="22"/>
        </w:rPr>
        <w:t xml:space="preserve">tudent </w:t>
      </w:r>
      <w:r w:rsidRPr="4C34B60F">
        <w:rPr>
          <w:sz w:val="22"/>
          <w:szCs w:val="22"/>
        </w:rPr>
        <w:t>group scale score impact analys</w:t>
      </w:r>
      <w:r w:rsidR="00485DC7" w:rsidRPr="4C34B60F">
        <w:rPr>
          <w:sz w:val="22"/>
          <w:szCs w:val="22"/>
        </w:rPr>
        <w:t>e</w:t>
      </w:r>
      <w:r w:rsidRPr="4C34B60F">
        <w:rPr>
          <w:sz w:val="22"/>
          <w:szCs w:val="22"/>
        </w:rPr>
        <w:t xml:space="preserve">s are indicative of </w:t>
      </w:r>
      <w:r w:rsidR="090BAA96" w:rsidRPr="4C34B60F">
        <w:rPr>
          <w:sz w:val="22"/>
          <w:szCs w:val="22"/>
        </w:rPr>
        <w:t xml:space="preserve">the </w:t>
      </w:r>
      <w:r w:rsidRPr="4C34B60F">
        <w:rPr>
          <w:sz w:val="22"/>
          <w:szCs w:val="22"/>
        </w:rPr>
        <w:t xml:space="preserve">impact of </w:t>
      </w:r>
      <w:r w:rsidR="00485DC7" w:rsidRPr="4C34B60F">
        <w:rPr>
          <w:sz w:val="22"/>
          <w:szCs w:val="22"/>
        </w:rPr>
        <w:t xml:space="preserve">including </w:t>
      </w:r>
      <w:r w:rsidRPr="4C34B60F">
        <w:rPr>
          <w:sz w:val="22"/>
          <w:szCs w:val="22"/>
        </w:rPr>
        <w:t>SBTs</w:t>
      </w:r>
      <w:r w:rsidR="00485DC7" w:rsidRPr="4C34B60F">
        <w:rPr>
          <w:sz w:val="22"/>
          <w:szCs w:val="22"/>
        </w:rPr>
        <w:t xml:space="preserve"> in the NAEP science assessment</w:t>
      </w:r>
      <w:r w:rsidRPr="4C34B60F">
        <w:rPr>
          <w:sz w:val="22"/>
          <w:szCs w:val="22"/>
        </w:rPr>
        <w:t xml:space="preserve">.  </w:t>
      </w:r>
      <w:r w:rsidR="00E316C9" w:rsidRPr="4C34B60F">
        <w:rPr>
          <w:sz w:val="22"/>
          <w:szCs w:val="22"/>
        </w:rPr>
        <w:t xml:space="preserve">Given </w:t>
      </w:r>
      <w:r w:rsidRPr="4C34B60F">
        <w:rPr>
          <w:sz w:val="22"/>
          <w:szCs w:val="22"/>
        </w:rPr>
        <w:t xml:space="preserve">the 2019 </w:t>
      </w:r>
      <w:r w:rsidR="000C4566" w:rsidRPr="4C34B60F">
        <w:rPr>
          <w:sz w:val="22"/>
          <w:szCs w:val="22"/>
        </w:rPr>
        <w:t xml:space="preserve">assessment </w:t>
      </w:r>
      <w:r w:rsidRPr="4C34B60F">
        <w:rPr>
          <w:sz w:val="22"/>
          <w:szCs w:val="22"/>
        </w:rPr>
        <w:t xml:space="preserve">design, </w:t>
      </w:r>
      <w:r w:rsidR="000C4566" w:rsidRPr="4C34B60F">
        <w:rPr>
          <w:sz w:val="22"/>
          <w:szCs w:val="22"/>
        </w:rPr>
        <w:t xml:space="preserve">in which </w:t>
      </w:r>
      <w:r w:rsidR="00383074" w:rsidRPr="4C34B60F">
        <w:rPr>
          <w:sz w:val="22"/>
          <w:szCs w:val="22"/>
        </w:rPr>
        <w:t xml:space="preserve">the </w:t>
      </w:r>
      <w:r w:rsidR="00047695" w:rsidRPr="4C34B60F">
        <w:rPr>
          <w:sz w:val="22"/>
          <w:szCs w:val="22"/>
        </w:rPr>
        <w:t xml:space="preserve">assessment </w:t>
      </w:r>
      <w:r w:rsidR="000C4566" w:rsidRPr="4C34B60F">
        <w:rPr>
          <w:sz w:val="22"/>
          <w:szCs w:val="22"/>
        </w:rPr>
        <w:t>wa</w:t>
      </w:r>
      <w:r w:rsidR="00047695" w:rsidRPr="4C34B60F">
        <w:rPr>
          <w:sz w:val="22"/>
          <w:szCs w:val="22"/>
        </w:rPr>
        <w:t xml:space="preserve">s </w:t>
      </w:r>
      <w:r w:rsidR="00D12191" w:rsidRPr="4C34B60F">
        <w:rPr>
          <w:sz w:val="22"/>
          <w:szCs w:val="22"/>
        </w:rPr>
        <w:t>composed</w:t>
      </w:r>
      <w:r w:rsidR="00047695" w:rsidRPr="4C34B60F">
        <w:rPr>
          <w:sz w:val="22"/>
          <w:szCs w:val="22"/>
        </w:rPr>
        <w:t xml:space="preserve"> </w:t>
      </w:r>
      <w:r w:rsidR="00110A34" w:rsidRPr="4C34B60F">
        <w:rPr>
          <w:sz w:val="22"/>
          <w:szCs w:val="22"/>
        </w:rPr>
        <w:t xml:space="preserve">mostly of discrete items </w:t>
      </w:r>
      <w:r w:rsidR="17EF21FB" w:rsidRPr="4C34B60F">
        <w:rPr>
          <w:sz w:val="22"/>
          <w:szCs w:val="22"/>
        </w:rPr>
        <w:t>with</w:t>
      </w:r>
      <w:r w:rsidRPr="4C34B60F">
        <w:rPr>
          <w:sz w:val="22"/>
          <w:szCs w:val="22"/>
        </w:rPr>
        <w:t xml:space="preserve"> most students</w:t>
      </w:r>
      <w:r w:rsidR="003C16AC">
        <w:rPr>
          <w:sz w:val="22"/>
          <w:szCs w:val="22"/>
        </w:rPr>
        <w:t xml:space="preserve"> </w:t>
      </w:r>
      <w:r w:rsidR="49F6C556" w:rsidRPr="4C34B60F">
        <w:rPr>
          <w:sz w:val="22"/>
          <w:szCs w:val="22"/>
        </w:rPr>
        <w:t>consequently taking</w:t>
      </w:r>
      <w:r w:rsidRPr="4C34B60F">
        <w:rPr>
          <w:sz w:val="22"/>
          <w:szCs w:val="22"/>
        </w:rPr>
        <w:t xml:space="preserve"> the discrete-only forms, the impact of </w:t>
      </w:r>
      <w:r w:rsidR="00E316C9" w:rsidRPr="4C34B60F">
        <w:rPr>
          <w:sz w:val="22"/>
          <w:szCs w:val="22"/>
        </w:rPr>
        <w:t xml:space="preserve">including </w:t>
      </w:r>
      <w:r w:rsidRPr="4C34B60F">
        <w:rPr>
          <w:sz w:val="22"/>
          <w:szCs w:val="22"/>
        </w:rPr>
        <w:t>SBTs appear</w:t>
      </w:r>
      <w:r w:rsidR="4D92F409" w:rsidRPr="4C34B60F">
        <w:rPr>
          <w:sz w:val="22"/>
          <w:szCs w:val="22"/>
        </w:rPr>
        <w:t>s</w:t>
      </w:r>
      <w:r w:rsidRPr="4C34B60F">
        <w:rPr>
          <w:sz w:val="22"/>
          <w:szCs w:val="22"/>
        </w:rPr>
        <w:t xml:space="preserve"> to be moderate, and the integration of SBTs </w:t>
      </w:r>
      <w:r w:rsidR="53F98A6D" w:rsidRPr="4C34B60F">
        <w:rPr>
          <w:sz w:val="22"/>
          <w:szCs w:val="22"/>
        </w:rPr>
        <w:t>does</w:t>
      </w:r>
      <w:r w:rsidRPr="4C34B60F">
        <w:rPr>
          <w:sz w:val="22"/>
          <w:szCs w:val="22"/>
        </w:rPr>
        <w:t xml:space="preserve"> not appear to </w:t>
      </w:r>
      <w:r w:rsidR="48E7C055" w:rsidRPr="4C34B60F">
        <w:rPr>
          <w:sz w:val="22"/>
          <w:szCs w:val="22"/>
        </w:rPr>
        <w:t>have disrupted</w:t>
      </w:r>
      <w:r w:rsidR="00E363D8" w:rsidRPr="4C34B60F">
        <w:rPr>
          <w:sz w:val="22"/>
          <w:szCs w:val="22"/>
        </w:rPr>
        <w:t xml:space="preserve"> the </w:t>
      </w:r>
      <w:r w:rsidR="00E316C9" w:rsidRPr="4C34B60F">
        <w:rPr>
          <w:sz w:val="22"/>
          <w:szCs w:val="22"/>
        </w:rPr>
        <w:t xml:space="preserve">reported results for the </w:t>
      </w:r>
      <w:r w:rsidR="00E363D8" w:rsidRPr="4C34B60F">
        <w:rPr>
          <w:sz w:val="22"/>
          <w:szCs w:val="22"/>
        </w:rPr>
        <w:t xml:space="preserve">NAEP science scale. </w:t>
      </w:r>
      <w:r w:rsidRPr="4C34B60F">
        <w:rPr>
          <w:sz w:val="22"/>
          <w:szCs w:val="22"/>
        </w:rPr>
        <w:t xml:space="preserve">However, </w:t>
      </w:r>
      <w:r w:rsidR="007C057B" w:rsidRPr="4C34B60F">
        <w:rPr>
          <w:sz w:val="22"/>
          <w:szCs w:val="22"/>
        </w:rPr>
        <w:t xml:space="preserve">differential </w:t>
      </w:r>
      <w:r w:rsidR="005414D6" w:rsidRPr="4C34B60F">
        <w:rPr>
          <w:sz w:val="22"/>
          <w:szCs w:val="22"/>
        </w:rPr>
        <w:t>s</w:t>
      </w:r>
      <w:r w:rsidR="00FB0FF3">
        <w:rPr>
          <w:sz w:val="22"/>
          <w:szCs w:val="22"/>
        </w:rPr>
        <w:t xml:space="preserve">tudent </w:t>
      </w:r>
      <w:r w:rsidR="005414D6" w:rsidRPr="4C34B60F">
        <w:rPr>
          <w:sz w:val="22"/>
          <w:szCs w:val="22"/>
        </w:rPr>
        <w:t xml:space="preserve">group performance </w:t>
      </w:r>
      <w:r w:rsidR="007A2C34" w:rsidRPr="4C34B60F">
        <w:rPr>
          <w:sz w:val="22"/>
          <w:szCs w:val="22"/>
        </w:rPr>
        <w:t xml:space="preserve">was observed </w:t>
      </w:r>
      <w:r w:rsidR="00E316C9" w:rsidRPr="4C34B60F">
        <w:rPr>
          <w:sz w:val="22"/>
          <w:szCs w:val="22"/>
        </w:rPr>
        <w:t xml:space="preserve">when comparing </w:t>
      </w:r>
      <w:r w:rsidR="00763B88" w:rsidRPr="4C34B60F">
        <w:rPr>
          <w:sz w:val="22"/>
          <w:szCs w:val="22"/>
        </w:rPr>
        <w:t>the</w:t>
      </w:r>
      <w:r w:rsidR="005414D6" w:rsidRPr="4C34B60F">
        <w:rPr>
          <w:sz w:val="22"/>
          <w:szCs w:val="22"/>
        </w:rPr>
        <w:t xml:space="preserve"> </w:t>
      </w:r>
      <w:r w:rsidR="00DE2AAE" w:rsidRPr="4C34B60F">
        <w:rPr>
          <w:sz w:val="22"/>
          <w:szCs w:val="22"/>
        </w:rPr>
        <w:t xml:space="preserve">data </w:t>
      </w:r>
      <w:r w:rsidR="004B5447" w:rsidRPr="4C34B60F">
        <w:rPr>
          <w:sz w:val="22"/>
          <w:szCs w:val="22"/>
        </w:rPr>
        <w:t xml:space="preserve">based on </w:t>
      </w:r>
      <w:r w:rsidRPr="4C34B60F">
        <w:rPr>
          <w:sz w:val="22"/>
          <w:szCs w:val="22"/>
        </w:rPr>
        <w:t xml:space="preserve">SBTs </w:t>
      </w:r>
      <w:r w:rsidR="004B5447" w:rsidRPr="4C34B60F">
        <w:rPr>
          <w:sz w:val="22"/>
          <w:szCs w:val="22"/>
        </w:rPr>
        <w:t xml:space="preserve">only </w:t>
      </w:r>
      <w:r w:rsidR="002A23C1" w:rsidRPr="4C34B60F">
        <w:rPr>
          <w:sz w:val="22"/>
          <w:szCs w:val="22"/>
        </w:rPr>
        <w:t>to</w:t>
      </w:r>
      <w:r w:rsidR="00EE5136" w:rsidRPr="4C34B60F">
        <w:rPr>
          <w:sz w:val="22"/>
          <w:szCs w:val="22"/>
        </w:rPr>
        <w:t xml:space="preserve"> </w:t>
      </w:r>
      <w:r w:rsidR="00DE2AAE" w:rsidRPr="4C34B60F">
        <w:rPr>
          <w:sz w:val="22"/>
          <w:szCs w:val="22"/>
        </w:rPr>
        <w:t xml:space="preserve">the data </w:t>
      </w:r>
      <w:r w:rsidR="004B5447" w:rsidRPr="4C34B60F">
        <w:rPr>
          <w:sz w:val="22"/>
          <w:szCs w:val="22"/>
        </w:rPr>
        <w:t>based on discrete items</w:t>
      </w:r>
      <w:r w:rsidR="00E316C9" w:rsidRPr="4C34B60F">
        <w:rPr>
          <w:sz w:val="22"/>
          <w:szCs w:val="22"/>
        </w:rPr>
        <w:t>. Significant group differences</w:t>
      </w:r>
      <w:r w:rsidR="004B5447" w:rsidRPr="4C34B60F">
        <w:rPr>
          <w:sz w:val="22"/>
          <w:szCs w:val="22"/>
        </w:rPr>
        <w:t xml:space="preserve"> </w:t>
      </w:r>
      <w:r w:rsidR="00E316C9" w:rsidRPr="4C34B60F">
        <w:rPr>
          <w:sz w:val="22"/>
          <w:szCs w:val="22"/>
        </w:rPr>
        <w:t>were restricted to a relatively small number of groups</w:t>
      </w:r>
      <w:r w:rsidR="36E7ADAB" w:rsidRPr="4C34B60F">
        <w:rPr>
          <w:sz w:val="22"/>
          <w:szCs w:val="22"/>
        </w:rPr>
        <w:t>:</w:t>
      </w:r>
      <w:r w:rsidR="00A24F14" w:rsidRPr="4C34B60F">
        <w:rPr>
          <w:sz w:val="22"/>
          <w:szCs w:val="22"/>
        </w:rPr>
        <w:t xml:space="preserve"> male and female at grades 4 and 8, as well as English learners </w:t>
      </w:r>
      <w:r w:rsidR="007A4A3D" w:rsidRPr="4C34B60F">
        <w:rPr>
          <w:sz w:val="22"/>
          <w:szCs w:val="22"/>
        </w:rPr>
        <w:t>and race/ethnicity s</w:t>
      </w:r>
      <w:r w:rsidR="00492078">
        <w:rPr>
          <w:sz w:val="22"/>
          <w:szCs w:val="22"/>
        </w:rPr>
        <w:t xml:space="preserve">tudent </w:t>
      </w:r>
      <w:r w:rsidR="007A4A3D" w:rsidRPr="4C34B60F">
        <w:rPr>
          <w:sz w:val="22"/>
          <w:szCs w:val="22"/>
        </w:rPr>
        <w:t>groups at grade 8</w:t>
      </w:r>
      <w:r w:rsidR="201DD1C0" w:rsidRPr="4C34B60F">
        <w:rPr>
          <w:sz w:val="22"/>
          <w:szCs w:val="22"/>
        </w:rPr>
        <w:t>.</w:t>
      </w:r>
      <w:r w:rsidR="008076A4" w:rsidRPr="4C34B60F">
        <w:rPr>
          <w:sz w:val="22"/>
          <w:szCs w:val="22"/>
        </w:rPr>
        <w:t xml:space="preserve">  </w:t>
      </w:r>
      <w:r w:rsidR="52219F7A" w:rsidRPr="4C34B60F">
        <w:rPr>
          <w:sz w:val="22"/>
          <w:szCs w:val="22"/>
        </w:rPr>
        <w:t>T</w:t>
      </w:r>
      <w:r w:rsidR="008076A4" w:rsidRPr="4C34B60F">
        <w:rPr>
          <w:sz w:val="22"/>
          <w:szCs w:val="22"/>
        </w:rPr>
        <w:t xml:space="preserve">here were no significant differences at </w:t>
      </w:r>
      <w:r w:rsidR="00CF4AC4" w:rsidRPr="4C34B60F">
        <w:rPr>
          <w:sz w:val="22"/>
          <w:szCs w:val="22"/>
        </w:rPr>
        <w:t>g</w:t>
      </w:r>
      <w:r w:rsidR="008076A4" w:rsidRPr="4C34B60F">
        <w:rPr>
          <w:sz w:val="22"/>
          <w:szCs w:val="22"/>
        </w:rPr>
        <w:t>rade 12</w:t>
      </w:r>
      <w:r w:rsidR="007A4A3D" w:rsidRPr="4C34B60F">
        <w:rPr>
          <w:sz w:val="22"/>
          <w:szCs w:val="22"/>
        </w:rPr>
        <w:t xml:space="preserve">. </w:t>
      </w:r>
      <w:r w:rsidRPr="4C34B60F">
        <w:rPr>
          <w:sz w:val="22"/>
          <w:szCs w:val="22"/>
        </w:rPr>
        <w:t xml:space="preserve"> </w:t>
      </w:r>
    </w:p>
    <w:p w14:paraId="38EA6CC2" w14:textId="77777777" w:rsidR="00682870" w:rsidRPr="003C0AFB" w:rsidRDefault="00682870" w:rsidP="00682870">
      <w:pPr>
        <w:rPr>
          <w:rFonts w:cstheme="minorHAnsi"/>
          <w:sz w:val="22"/>
          <w:szCs w:val="23"/>
        </w:rPr>
      </w:pPr>
    </w:p>
    <w:p w14:paraId="145B0E8B" w14:textId="4CDBA7AF" w:rsidR="00682870" w:rsidRPr="00090ACB" w:rsidRDefault="00682870" w:rsidP="003C0AFB">
      <w:pPr>
        <w:rPr>
          <w:rFonts w:asciiTheme="majorHAnsi" w:hAnsiTheme="majorHAnsi" w:cstheme="majorHAnsi"/>
          <w:b/>
          <w:sz w:val="31"/>
          <w:szCs w:val="31"/>
        </w:rPr>
      </w:pPr>
      <w:r w:rsidRPr="00090ACB">
        <w:rPr>
          <w:rFonts w:asciiTheme="majorHAnsi" w:hAnsiTheme="majorHAnsi" w:cstheme="majorHAnsi"/>
          <w:b/>
          <w:sz w:val="31"/>
          <w:szCs w:val="31"/>
        </w:rPr>
        <w:t>Reference</w:t>
      </w:r>
      <w:r w:rsidR="00090ACB" w:rsidRPr="00090ACB">
        <w:rPr>
          <w:rFonts w:asciiTheme="majorHAnsi" w:hAnsiTheme="majorHAnsi" w:cstheme="majorHAnsi"/>
          <w:b/>
          <w:sz w:val="31"/>
          <w:szCs w:val="31"/>
        </w:rPr>
        <w:t>s</w:t>
      </w:r>
    </w:p>
    <w:p w14:paraId="0449A997" w14:textId="77777777" w:rsidR="00682870" w:rsidRPr="003C0AFB" w:rsidRDefault="00682870" w:rsidP="00682870">
      <w:pPr>
        <w:rPr>
          <w:rFonts w:cstheme="minorHAnsi"/>
          <w:sz w:val="22"/>
          <w:szCs w:val="23"/>
        </w:rPr>
      </w:pPr>
    </w:p>
    <w:p w14:paraId="7A42495A" w14:textId="77F4C988" w:rsidR="009F5C01" w:rsidRPr="003C0AFB" w:rsidRDefault="009F5C01" w:rsidP="00682870">
      <w:pPr>
        <w:spacing w:after="0" w:line="240" w:lineRule="auto"/>
        <w:ind w:left="720" w:hanging="720"/>
        <w:rPr>
          <w:rFonts w:cstheme="minorHAnsi"/>
          <w:color w:val="222222"/>
          <w:sz w:val="22"/>
          <w:szCs w:val="23"/>
          <w:shd w:val="clear" w:color="auto" w:fill="FFFFFF"/>
        </w:rPr>
      </w:pPr>
      <w:r w:rsidRPr="003C0AFB">
        <w:rPr>
          <w:rFonts w:cstheme="minorHAnsi"/>
          <w:sz w:val="22"/>
          <w:szCs w:val="23"/>
        </w:rPr>
        <w:t xml:space="preserve">Lord, F. M. (1980). </w:t>
      </w:r>
      <w:r w:rsidRPr="003C0AFB">
        <w:rPr>
          <w:rFonts w:cstheme="minorHAnsi"/>
          <w:i/>
          <w:sz w:val="22"/>
          <w:szCs w:val="23"/>
        </w:rPr>
        <w:t>Applications of item response theory to practical testing problems</w:t>
      </w:r>
      <w:r w:rsidRPr="003C0AFB">
        <w:rPr>
          <w:rFonts w:cstheme="minorHAnsi"/>
          <w:sz w:val="22"/>
          <w:szCs w:val="23"/>
        </w:rPr>
        <w:t>. Hillsdale, NJ: Erlbaum</w:t>
      </w:r>
    </w:p>
    <w:p w14:paraId="46D909B8" w14:textId="77777777" w:rsidR="009F5C01" w:rsidRPr="003C0AFB" w:rsidRDefault="009F5C01" w:rsidP="00682870">
      <w:pPr>
        <w:spacing w:after="0" w:line="240" w:lineRule="auto"/>
        <w:ind w:left="720" w:hanging="720"/>
        <w:rPr>
          <w:rFonts w:cstheme="minorHAnsi"/>
          <w:color w:val="222222"/>
          <w:sz w:val="22"/>
          <w:szCs w:val="23"/>
          <w:shd w:val="clear" w:color="auto" w:fill="FFFFFF"/>
        </w:rPr>
      </w:pPr>
    </w:p>
    <w:p w14:paraId="18FBB716" w14:textId="5C04FFE0" w:rsidR="00682870" w:rsidRPr="003C0AFB" w:rsidRDefault="00682870" w:rsidP="00A87361">
      <w:pPr>
        <w:spacing w:after="0" w:line="240" w:lineRule="auto"/>
        <w:rPr>
          <w:rFonts w:cstheme="minorHAnsi"/>
          <w:color w:val="222222"/>
          <w:sz w:val="22"/>
          <w:szCs w:val="23"/>
          <w:shd w:val="clear" w:color="auto" w:fill="FFFFFF"/>
        </w:rPr>
      </w:pPr>
      <w:r w:rsidRPr="003C0AFB">
        <w:rPr>
          <w:rFonts w:cstheme="minorHAnsi"/>
          <w:color w:val="222222"/>
          <w:sz w:val="22"/>
          <w:szCs w:val="23"/>
          <w:shd w:val="clear" w:color="auto" w:fill="FFFFFF"/>
        </w:rPr>
        <w:t xml:space="preserve">Muthén, B., Kaplan, D., &amp; Hollis, M. (1987). On structural equation modeling with data that are not missing completely at random. </w:t>
      </w:r>
      <w:r w:rsidRPr="003C0AFB">
        <w:rPr>
          <w:rFonts w:cstheme="minorHAnsi"/>
          <w:i/>
          <w:color w:val="222222"/>
          <w:sz w:val="22"/>
          <w:szCs w:val="23"/>
          <w:shd w:val="clear" w:color="auto" w:fill="FFFFFF"/>
        </w:rPr>
        <w:t>Psychometrika</w:t>
      </w:r>
      <w:r w:rsidRPr="003C0AFB">
        <w:rPr>
          <w:rFonts w:cstheme="minorHAnsi"/>
          <w:color w:val="222222"/>
          <w:sz w:val="22"/>
          <w:szCs w:val="23"/>
          <w:shd w:val="clear" w:color="auto" w:fill="FFFFFF"/>
        </w:rPr>
        <w:t xml:space="preserve">, </w:t>
      </w:r>
      <w:r w:rsidRPr="003C0AFB">
        <w:rPr>
          <w:rFonts w:cstheme="minorHAnsi"/>
          <w:i/>
          <w:color w:val="222222"/>
          <w:sz w:val="22"/>
          <w:szCs w:val="23"/>
          <w:shd w:val="clear" w:color="auto" w:fill="FFFFFF"/>
        </w:rPr>
        <w:t>52</w:t>
      </w:r>
      <w:r w:rsidRPr="003C0AFB">
        <w:rPr>
          <w:rFonts w:cstheme="minorHAnsi"/>
          <w:color w:val="222222"/>
          <w:sz w:val="22"/>
          <w:szCs w:val="23"/>
          <w:shd w:val="clear" w:color="auto" w:fill="FFFFFF"/>
        </w:rPr>
        <w:t>, 431-462.</w:t>
      </w:r>
    </w:p>
    <w:p w14:paraId="623C5DE1" w14:textId="1A5C7E4D" w:rsidR="00233A25" w:rsidRPr="003C0AFB" w:rsidRDefault="00233A25" w:rsidP="00682870">
      <w:pPr>
        <w:spacing w:after="0" w:line="240" w:lineRule="auto"/>
        <w:ind w:left="720" w:hanging="720"/>
        <w:rPr>
          <w:rFonts w:cstheme="minorHAnsi"/>
          <w:sz w:val="22"/>
          <w:szCs w:val="23"/>
        </w:rPr>
      </w:pPr>
    </w:p>
    <w:p w14:paraId="696616A1" w14:textId="33F3A728" w:rsidR="00D56E7E" w:rsidRPr="003C0AFB" w:rsidRDefault="00D56E7E" w:rsidP="4C34B60F">
      <w:pPr>
        <w:spacing w:after="0" w:line="240" w:lineRule="auto"/>
        <w:ind w:left="720" w:hanging="720"/>
        <w:rPr>
          <w:sz w:val="22"/>
          <w:szCs w:val="22"/>
        </w:rPr>
      </w:pPr>
      <w:r w:rsidRPr="4C34B60F">
        <w:rPr>
          <w:sz w:val="22"/>
          <w:szCs w:val="22"/>
        </w:rPr>
        <w:t>Muthén,</w:t>
      </w:r>
      <w:r w:rsidR="00003106" w:rsidRPr="4C34B60F">
        <w:rPr>
          <w:sz w:val="22"/>
          <w:szCs w:val="22"/>
        </w:rPr>
        <w:t xml:space="preserve"> </w:t>
      </w:r>
      <w:r w:rsidRPr="4C34B60F">
        <w:rPr>
          <w:sz w:val="22"/>
          <w:szCs w:val="22"/>
        </w:rPr>
        <w:t>L.</w:t>
      </w:r>
      <w:r w:rsidR="00003106" w:rsidRPr="4C34B60F">
        <w:rPr>
          <w:sz w:val="22"/>
          <w:szCs w:val="22"/>
        </w:rPr>
        <w:t xml:space="preserve"> </w:t>
      </w:r>
      <w:r w:rsidRPr="4C34B60F">
        <w:rPr>
          <w:sz w:val="22"/>
          <w:szCs w:val="22"/>
        </w:rPr>
        <w:t>K.,</w:t>
      </w:r>
      <w:r w:rsidR="00A944E8" w:rsidRPr="4C34B60F">
        <w:rPr>
          <w:sz w:val="22"/>
          <w:szCs w:val="22"/>
        </w:rPr>
        <w:t xml:space="preserve"> </w:t>
      </w:r>
      <w:r w:rsidRPr="4C34B60F">
        <w:rPr>
          <w:sz w:val="22"/>
          <w:szCs w:val="22"/>
        </w:rPr>
        <w:t>&amp;</w:t>
      </w:r>
      <w:r w:rsidR="000F5084" w:rsidRPr="4C34B60F">
        <w:rPr>
          <w:sz w:val="22"/>
          <w:szCs w:val="22"/>
        </w:rPr>
        <w:t xml:space="preserve"> </w:t>
      </w:r>
      <w:r w:rsidRPr="4C34B60F">
        <w:rPr>
          <w:sz w:val="22"/>
          <w:szCs w:val="22"/>
        </w:rPr>
        <w:t>Muthén,</w:t>
      </w:r>
      <w:r w:rsidR="00003106" w:rsidRPr="4C34B60F">
        <w:rPr>
          <w:sz w:val="22"/>
          <w:szCs w:val="22"/>
        </w:rPr>
        <w:t xml:space="preserve"> </w:t>
      </w:r>
      <w:r w:rsidRPr="4C34B60F">
        <w:rPr>
          <w:sz w:val="22"/>
          <w:szCs w:val="22"/>
        </w:rPr>
        <w:t>B.</w:t>
      </w:r>
      <w:r w:rsidR="00003106" w:rsidRPr="4C34B60F">
        <w:rPr>
          <w:sz w:val="22"/>
          <w:szCs w:val="22"/>
        </w:rPr>
        <w:t xml:space="preserve"> </w:t>
      </w:r>
      <w:r w:rsidRPr="4C34B60F">
        <w:rPr>
          <w:sz w:val="22"/>
          <w:szCs w:val="22"/>
        </w:rPr>
        <w:t>O.</w:t>
      </w:r>
      <w:r w:rsidR="00A944E8" w:rsidRPr="4C34B60F">
        <w:rPr>
          <w:sz w:val="22"/>
          <w:szCs w:val="22"/>
        </w:rPr>
        <w:t xml:space="preserve"> </w:t>
      </w:r>
      <w:r w:rsidRPr="4C34B60F">
        <w:rPr>
          <w:sz w:val="22"/>
          <w:szCs w:val="22"/>
        </w:rPr>
        <w:t>(1998</w:t>
      </w:r>
      <w:r w:rsidR="44D82A44" w:rsidRPr="4C34B60F">
        <w:rPr>
          <w:sz w:val="22"/>
          <w:szCs w:val="22"/>
        </w:rPr>
        <w:t>–</w:t>
      </w:r>
      <w:r w:rsidRPr="4C34B60F">
        <w:rPr>
          <w:sz w:val="22"/>
          <w:szCs w:val="22"/>
        </w:rPr>
        <w:t>201</w:t>
      </w:r>
      <w:r w:rsidR="00D51428" w:rsidRPr="4C34B60F">
        <w:rPr>
          <w:sz w:val="22"/>
          <w:szCs w:val="22"/>
        </w:rPr>
        <w:t>4</w:t>
      </w:r>
      <w:r w:rsidRPr="4C34B60F">
        <w:rPr>
          <w:sz w:val="22"/>
          <w:szCs w:val="22"/>
        </w:rPr>
        <w:t>).</w:t>
      </w:r>
      <w:r w:rsidR="00A944E8" w:rsidRPr="4C34B60F">
        <w:rPr>
          <w:sz w:val="22"/>
          <w:szCs w:val="22"/>
        </w:rPr>
        <w:t xml:space="preserve"> </w:t>
      </w:r>
      <w:r w:rsidRPr="4C34B60F">
        <w:rPr>
          <w:i/>
          <w:iCs/>
          <w:sz w:val="22"/>
          <w:szCs w:val="22"/>
        </w:rPr>
        <w:t>Mplus</w:t>
      </w:r>
      <w:r w:rsidR="000F5084" w:rsidRPr="4C34B60F">
        <w:rPr>
          <w:i/>
          <w:iCs/>
          <w:sz w:val="22"/>
          <w:szCs w:val="22"/>
        </w:rPr>
        <w:t xml:space="preserve"> </w:t>
      </w:r>
      <w:r w:rsidRPr="4C34B60F">
        <w:rPr>
          <w:i/>
          <w:iCs/>
          <w:sz w:val="22"/>
          <w:szCs w:val="22"/>
        </w:rPr>
        <w:t>user’s</w:t>
      </w:r>
      <w:r w:rsidR="000F5084" w:rsidRPr="4C34B60F">
        <w:rPr>
          <w:i/>
          <w:iCs/>
          <w:sz w:val="22"/>
          <w:szCs w:val="22"/>
        </w:rPr>
        <w:t xml:space="preserve"> </w:t>
      </w:r>
      <w:r w:rsidRPr="4C34B60F">
        <w:rPr>
          <w:i/>
          <w:iCs/>
          <w:sz w:val="22"/>
          <w:szCs w:val="22"/>
        </w:rPr>
        <w:t>guide</w:t>
      </w:r>
      <w:r w:rsidRPr="4C34B60F">
        <w:rPr>
          <w:sz w:val="22"/>
          <w:szCs w:val="22"/>
        </w:rPr>
        <w:t xml:space="preserve"> (</w:t>
      </w:r>
      <w:r w:rsidR="00016816" w:rsidRPr="4C34B60F">
        <w:rPr>
          <w:sz w:val="22"/>
          <w:szCs w:val="22"/>
        </w:rPr>
        <w:t>7</w:t>
      </w:r>
      <w:r w:rsidRPr="4C34B60F">
        <w:rPr>
          <w:sz w:val="22"/>
          <w:szCs w:val="22"/>
          <w:vertAlign w:val="superscript"/>
        </w:rPr>
        <w:t>th</w:t>
      </w:r>
      <w:r w:rsidR="00AF0639" w:rsidRPr="4C34B60F">
        <w:rPr>
          <w:sz w:val="22"/>
          <w:szCs w:val="22"/>
        </w:rPr>
        <w:t xml:space="preserve"> </w:t>
      </w:r>
      <w:r w:rsidRPr="4C34B60F">
        <w:rPr>
          <w:sz w:val="22"/>
          <w:szCs w:val="22"/>
        </w:rPr>
        <w:t>ed.).</w:t>
      </w:r>
      <w:r w:rsidR="000F5084" w:rsidRPr="4C34B60F">
        <w:rPr>
          <w:sz w:val="22"/>
          <w:szCs w:val="22"/>
        </w:rPr>
        <w:t xml:space="preserve"> </w:t>
      </w:r>
      <w:r w:rsidRPr="4C34B60F">
        <w:rPr>
          <w:sz w:val="22"/>
          <w:szCs w:val="22"/>
        </w:rPr>
        <w:t>Los</w:t>
      </w:r>
      <w:r w:rsidR="00A944E8" w:rsidRPr="4C34B60F">
        <w:rPr>
          <w:sz w:val="22"/>
          <w:szCs w:val="22"/>
        </w:rPr>
        <w:t xml:space="preserve"> </w:t>
      </w:r>
      <w:r w:rsidRPr="4C34B60F">
        <w:rPr>
          <w:sz w:val="22"/>
          <w:szCs w:val="22"/>
        </w:rPr>
        <w:t>Angeles,</w:t>
      </w:r>
      <w:r w:rsidR="000F5084" w:rsidRPr="4C34B60F">
        <w:rPr>
          <w:sz w:val="22"/>
          <w:szCs w:val="22"/>
        </w:rPr>
        <w:t xml:space="preserve"> </w:t>
      </w:r>
      <w:r w:rsidRPr="4C34B60F">
        <w:rPr>
          <w:sz w:val="22"/>
          <w:szCs w:val="22"/>
        </w:rPr>
        <w:t>CA:</w:t>
      </w:r>
      <w:r w:rsidR="00A944E8" w:rsidRPr="4C34B60F">
        <w:rPr>
          <w:sz w:val="22"/>
          <w:szCs w:val="22"/>
        </w:rPr>
        <w:t xml:space="preserve"> </w:t>
      </w:r>
      <w:r w:rsidRPr="4C34B60F">
        <w:rPr>
          <w:sz w:val="22"/>
          <w:szCs w:val="22"/>
        </w:rPr>
        <w:t>Muthén</w:t>
      </w:r>
      <w:r w:rsidR="000F5084" w:rsidRPr="4C34B60F">
        <w:rPr>
          <w:sz w:val="22"/>
          <w:szCs w:val="22"/>
        </w:rPr>
        <w:t xml:space="preserve"> </w:t>
      </w:r>
      <w:r w:rsidRPr="4C34B60F">
        <w:rPr>
          <w:sz w:val="22"/>
          <w:szCs w:val="22"/>
        </w:rPr>
        <w:t>&amp;</w:t>
      </w:r>
      <w:r w:rsidR="000F5084" w:rsidRPr="4C34B60F">
        <w:rPr>
          <w:sz w:val="22"/>
          <w:szCs w:val="22"/>
        </w:rPr>
        <w:t xml:space="preserve"> </w:t>
      </w:r>
      <w:r w:rsidRPr="4C34B60F">
        <w:rPr>
          <w:sz w:val="22"/>
          <w:szCs w:val="22"/>
        </w:rPr>
        <w:t>Muthén.</w:t>
      </w:r>
    </w:p>
    <w:p w14:paraId="7FB00D2C" w14:textId="77777777" w:rsidR="00D56E7E" w:rsidRPr="003C0AFB" w:rsidRDefault="00D56E7E" w:rsidP="00682870">
      <w:pPr>
        <w:spacing w:after="0" w:line="240" w:lineRule="auto"/>
        <w:ind w:left="720" w:hanging="720"/>
        <w:rPr>
          <w:rFonts w:cstheme="minorHAnsi"/>
          <w:sz w:val="22"/>
          <w:szCs w:val="23"/>
        </w:rPr>
      </w:pPr>
    </w:p>
    <w:p w14:paraId="70336CAD" w14:textId="04A40067" w:rsidR="00233A25" w:rsidRPr="003C0AFB" w:rsidRDefault="00233A25" w:rsidP="00A87361">
      <w:pPr>
        <w:spacing w:after="0" w:line="240" w:lineRule="auto"/>
        <w:rPr>
          <w:rFonts w:cstheme="minorHAnsi"/>
          <w:sz w:val="22"/>
          <w:szCs w:val="23"/>
        </w:rPr>
      </w:pPr>
      <w:r w:rsidRPr="003C0AFB">
        <w:rPr>
          <w:rFonts w:cstheme="minorHAnsi"/>
          <w:sz w:val="22"/>
          <w:szCs w:val="23"/>
        </w:rPr>
        <w:t xml:space="preserve">Wainer, H., &amp; Kiely, G. (1987). Item clusters and computerized adaptive testing: A case for testlets. </w:t>
      </w:r>
      <w:r w:rsidRPr="003C0AFB">
        <w:rPr>
          <w:rFonts w:cstheme="minorHAnsi"/>
          <w:i/>
          <w:sz w:val="22"/>
          <w:szCs w:val="23"/>
        </w:rPr>
        <w:t>Journal of Educational Measurement, 24</w:t>
      </w:r>
      <w:r w:rsidRPr="003C0AFB">
        <w:rPr>
          <w:rFonts w:cstheme="minorHAnsi"/>
          <w:sz w:val="22"/>
          <w:szCs w:val="23"/>
        </w:rPr>
        <w:t>, 185–202.</w:t>
      </w:r>
    </w:p>
    <w:p w14:paraId="22B020B9" w14:textId="038398EE" w:rsidR="002847BB" w:rsidRPr="003C0AFB" w:rsidRDefault="002847BB" w:rsidP="00682870">
      <w:pPr>
        <w:spacing w:after="0" w:line="240" w:lineRule="auto"/>
        <w:ind w:left="720" w:hanging="720"/>
        <w:rPr>
          <w:rFonts w:cstheme="minorHAnsi"/>
          <w:sz w:val="22"/>
        </w:rPr>
      </w:pPr>
    </w:p>
    <w:p w14:paraId="1FD219B7" w14:textId="77777777" w:rsidR="00DF0AD1" w:rsidRDefault="00DF0AD1" w:rsidP="006701F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1B433CBE" w14:textId="50DBEAF8" w:rsidR="002847BB" w:rsidRPr="00A87361" w:rsidRDefault="002847BB" w:rsidP="006701FD">
      <w:pPr>
        <w:spacing w:after="0" w:line="240" w:lineRule="auto"/>
        <w:rPr>
          <w:rFonts w:cstheme="minorHAnsi"/>
          <w:sz w:val="24"/>
        </w:rPr>
      </w:pPr>
      <w:r w:rsidRPr="00A87361">
        <w:rPr>
          <w:rFonts w:cstheme="minorHAnsi"/>
          <w:sz w:val="24"/>
        </w:rPr>
        <w:lastRenderedPageBreak/>
        <w:t>Appendix</w:t>
      </w:r>
    </w:p>
    <w:p w14:paraId="6D0DBD98" w14:textId="77777777" w:rsidR="00830B01" w:rsidRDefault="00830B01" w:rsidP="00830B01">
      <w:pPr>
        <w:spacing w:after="0" w:line="240" w:lineRule="auto"/>
        <w:ind w:left="720" w:hanging="720"/>
        <w:rPr>
          <w:rFonts w:cstheme="minorHAnsi"/>
          <w:i/>
          <w:sz w:val="22"/>
        </w:rPr>
      </w:pPr>
    </w:p>
    <w:p w14:paraId="41293FF7" w14:textId="1F3726B8" w:rsidR="0006538E" w:rsidRDefault="00C33724" w:rsidP="00830B01">
      <w:pPr>
        <w:spacing w:after="0" w:line="240" w:lineRule="auto"/>
        <w:ind w:left="720" w:hanging="720"/>
        <w:rPr>
          <w:rFonts w:cstheme="minorHAnsi"/>
          <w:sz w:val="22"/>
        </w:rPr>
      </w:pPr>
      <w:r w:rsidRPr="00830B01">
        <w:rPr>
          <w:rFonts w:cstheme="minorHAnsi"/>
          <w:sz w:val="22"/>
        </w:rPr>
        <w:t>EFA factor loadings from the 2-factor solution: Grade 8</w:t>
      </w:r>
    </w:p>
    <w:p w14:paraId="7E3F220E" w14:textId="77777777" w:rsidR="00BD5236" w:rsidRDefault="00BD5236" w:rsidP="00830B01">
      <w:pPr>
        <w:spacing w:after="0" w:line="240" w:lineRule="auto"/>
        <w:rPr>
          <w:rFonts w:cstheme="minorHAnsi"/>
          <w:i/>
          <w:color w:val="222222"/>
          <w:sz w:val="22"/>
          <w:szCs w:val="23"/>
          <w:shd w:val="clear" w:color="auto" w:fill="FFFFFF"/>
        </w:rPr>
      </w:pPr>
    </w:p>
    <w:tbl>
      <w:tblPr>
        <w:tblW w:w="10224" w:type="dxa"/>
        <w:tblLook w:val="04A0" w:firstRow="1" w:lastRow="0" w:firstColumn="1" w:lastColumn="0" w:noHBand="0" w:noVBand="1"/>
      </w:tblPr>
      <w:tblGrid>
        <w:gridCol w:w="612"/>
        <w:gridCol w:w="960"/>
        <w:gridCol w:w="960"/>
        <w:gridCol w:w="708"/>
        <w:gridCol w:w="960"/>
        <w:gridCol w:w="960"/>
        <w:gridCol w:w="612"/>
        <w:gridCol w:w="960"/>
        <w:gridCol w:w="960"/>
        <w:gridCol w:w="612"/>
        <w:gridCol w:w="960"/>
        <w:gridCol w:w="960"/>
      </w:tblGrid>
      <w:tr w:rsidR="00B52BF6" w:rsidRPr="00B52BF6" w14:paraId="26419051" w14:textId="77777777" w:rsidTr="001F490C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C038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Cs w:val="21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F964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Cs w:val="21"/>
              </w:rPr>
              <w:t>Factor1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3F10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Cs w:val="21"/>
              </w:rPr>
              <w:t>Factor2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2D3A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Cs w:val="21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F021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Cs w:val="21"/>
              </w:rPr>
              <w:t>Factor1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00452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Cs w:val="21"/>
              </w:rPr>
              <w:t>Factor2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2AC8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Cs w:val="21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1C91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Cs w:val="21"/>
              </w:rPr>
              <w:t>Factor1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BDEC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Cs w:val="21"/>
              </w:rPr>
              <w:t>Factor2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E6252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Cs w:val="21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EA39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Cs w:val="21"/>
              </w:rPr>
              <w:t>Factor1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6B81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Cs w:val="21"/>
              </w:rPr>
              <w:t>Factor2</w:t>
            </w:r>
          </w:p>
        </w:tc>
      </w:tr>
      <w:tr w:rsidR="00B52BF6" w:rsidRPr="00B52BF6" w14:paraId="49810C3A" w14:textId="77777777" w:rsidTr="001F490C">
        <w:trPr>
          <w:trHeight w:val="288"/>
        </w:trPr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493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C25D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0.377*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152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-0.166*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F2F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514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0.228*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500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0.089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4B8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1D2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</w:t>
            </w:r>
            <w:r w:rsidRPr="00B52B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247*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BB6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49A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EFA6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0.479*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805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0.081</w:t>
            </w:r>
          </w:p>
        </w:tc>
      </w:tr>
      <w:tr w:rsidR="00B52BF6" w:rsidRPr="00B52BF6" w14:paraId="4EEA97ED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F49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52A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0.370*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90E2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FB2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F05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0.488*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FAC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18A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E55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9A1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445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B15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0.380*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9BA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-0.073</w:t>
            </w:r>
          </w:p>
        </w:tc>
      </w:tr>
      <w:tr w:rsidR="00B52BF6" w:rsidRPr="00B52BF6" w14:paraId="5371194D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458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0B2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0.457*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EEF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7A6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907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3D5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01D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3B8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0.515*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244D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91E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8B3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212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0.039</w:t>
            </w:r>
          </w:p>
        </w:tc>
      </w:tr>
      <w:tr w:rsidR="00B52BF6" w:rsidRPr="00B52BF6" w14:paraId="1773C5AA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73C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FDE6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0.394*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418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1A1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42C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0.570*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0AD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8A36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101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0.507*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56F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0.173*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3C8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48D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FC6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0.051</w:t>
            </w:r>
          </w:p>
        </w:tc>
      </w:tr>
      <w:tr w:rsidR="00B52BF6" w:rsidRPr="00B52BF6" w14:paraId="6252434C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D59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3D3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0.402*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0EE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F9F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9C2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0.172*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63C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C08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146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0.626*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461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4FC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5FB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45E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0.028</w:t>
            </w:r>
          </w:p>
        </w:tc>
      </w:tr>
      <w:tr w:rsidR="00B52BF6" w:rsidRPr="00B52BF6" w14:paraId="35710780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CA40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B68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0.518*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0B6D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-0.174*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241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A236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9DE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0.233*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67C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2F3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0.558*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219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0.156*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FBD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553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98E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0.075</w:t>
            </w:r>
          </w:p>
        </w:tc>
      </w:tr>
      <w:tr w:rsidR="00B52BF6" w:rsidRPr="00B52BF6" w14:paraId="7FE64B08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7FB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242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0.284*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17D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FF2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2F32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0.478*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86E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0.137*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270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0CD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0.419*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0FF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0.153*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56F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D17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0.444*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C7B6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0.094</w:t>
            </w:r>
          </w:p>
        </w:tc>
      </w:tr>
      <w:tr w:rsidR="00B52BF6" w:rsidRPr="00B52BF6" w14:paraId="54D3AA49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81C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32D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0.584*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440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D0A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4F6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AA8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F8D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933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0.470*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7EC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E9D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C55D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40D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-0.135*</w:t>
            </w:r>
          </w:p>
        </w:tc>
      </w:tr>
      <w:tr w:rsidR="00B52BF6" w:rsidRPr="00B52BF6" w14:paraId="0DB5AB5E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8A42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FAB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0.682*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182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13B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5B7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0.540*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24C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78E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2B2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0.237*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67D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0.187*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8A2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C49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0.606*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2322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0.041</w:t>
            </w:r>
          </w:p>
        </w:tc>
      </w:tr>
      <w:tr w:rsidR="00B52BF6" w:rsidRPr="00B52BF6" w14:paraId="2C6AA692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EAB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902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0.542*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E77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8C66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27A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0.497*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229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0.171*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A41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F66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0.404*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436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0.127*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D322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9DD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F67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</w:t>
            </w:r>
          </w:p>
        </w:tc>
      </w:tr>
      <w:tr w:rsidR="00B52BF6" w:rsidRPr="00B52BF6" w14:paraId="552ACB79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EE22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3F9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F79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579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BEA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0.376*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1BB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BF1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315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0.509*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BC1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1CD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62E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0.561*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189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-0.053</w:t>
            </w:r>
          </w:p>
        </w:tc>
      </w:tr>
      <w:tr w:rsidR="00B52BF6" w:rsidRPr="00B52BF6" w14:paraId="2C189108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C0A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2BB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0.697*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168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B17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61E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0.546*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807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E26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09E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0.565*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8D0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-0.145*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228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7ED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0.489*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EA3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-0.111</w:t>
            </w:r>
          </w:p>
        </w:tc>
      </w:tr>
      <w:tr w:rsidR="00B52BF6" w:rsidRPr="00B52BF6" w14:paraId="5D33DE3B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B13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F4C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0.501*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3F4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5D4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C47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CD6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0.165*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1A7D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313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AB9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00C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3B4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0.698*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68C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-0.138</w:t>
            </w:r>
          </w:p>
        </w:tc>
      </w:tr>
      <w:tr w:rsidR="00B52BF6" w:rsidRPr="00B52BF6" w14:paraId="4FCE4A6E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56E6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8AC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0.312*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AF6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0EF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840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0.606*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DA4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AD6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6F6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0.238*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A45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D3A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A2E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0.704*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AEC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-0.212*</w:t>
            </w:r>
          </w:p>
        </w:tc>
      </w:tr>
      <w:tr w:rsidR="00B52BF6" w:rsidRPr="00B52BF6" w14:paraId="712AB8D1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500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FB5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0.661*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508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AC1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143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0.604*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949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7D3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1242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0.588*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2EF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998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E946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0.404*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E75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</w:t>
            </w:r>
          </w:p>
        </w:tc>
      </w:tr>
      <w:tr w:rsidR="00B52BF6" w:rsidRPr="00B52BF6" w14:paraId="51D426B0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288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A88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0DD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15C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F04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0.571*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7A4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3056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1E7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C986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CAA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6D7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82E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0.167*</w:t>
            </w:r>
          </w:p>
        </w:tc>
      </w:tr>
      <w:tr w:rsidR="00B52BF6" w:rsidRPr="00B52BF6" w14:paraId="2F353B53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212D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A32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0.300*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CC0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0F3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EB42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0.580*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E58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0.178*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EF0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450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0.394*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0D4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9682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EAE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0.615*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1BCD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-0.122*</w:t>
            </w:r>
          </w:p>
        </w:tc>
      </w:tr>
      <w:tr w:rsidR="00B52BF6" w:rsidRPr="00B52BF6" w14:paraId="61A65BF3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AD4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4E2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0.295*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CB5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68E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4A8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0.244*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FAC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60F6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5C3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0.536*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63B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F58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805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F90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0.003</w:t>
            </w:r>
          </w:p>
        </w:tc>
      </w:tr>
      <w:tr w:rsidR="00B52BF6" w:rsidRPr="00B52BF6" w14:paraId="4AB38321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692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918D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0.232*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914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66CD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92D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0.399*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860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0.155*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075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78A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F19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0.123*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13E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944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0.512*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6DD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0.081</w:t>
            </w:r>
          </w:p>
        </w:tc>
      </w:tr>
      <w:tr w:rsidR="00B52BF6" w:rsidRPr="00B52BF6" w14:paraId="6F8C8D8E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562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668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0.526*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C1C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-0.185*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D77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1C6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0.254*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F81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14D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8CC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0.477*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17E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0.135*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79D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4DC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0.190*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A95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0.119</w:t>
            </w:r>
          </w:p>
        </w:tc>
      </w:tr>
      <w:tr w:rsidR="00B52BF6" w:rsidRPr="00B52BF6" w14:paraId="1A5D4424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7E16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1BC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0.444*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C95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920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2A6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0.625*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4706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B08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2FB2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0.314*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A01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B02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B6B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0.374*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54C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0.127</w:t>
            </w:r>
          </w:p>
        </w:tc>
      </w:tr>
      <w:tr w:rsidR="00B52BF6" w:rsidRPr="00B52BF6" w14:paraId="120C3ABD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D77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E26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0.440*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626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E80D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246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0.431*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2EB2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48D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3D32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8B1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E3B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2AA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0.407*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A7C6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</w:t>
            </w:r>
          </w:p>
        </w:tc>
      </w:tr>
      <w:tr w:rsidR="00B52BF6" w:rsidRPr="00B52BF6" w14:paraId="6582BB4F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160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4C0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0.661*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C29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065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5DB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506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7E1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913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0.603*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D86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E24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799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0.596*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6D7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-0.131*</w:t>
            </w:r>
          </w:p>
        </w:tc>
      </w:tr>
      <w:tr w:rsidR="00B52BF6" w:rsidRPr="00B52BF6" w14:paraId="3836F17E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A54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98D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0.483*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8BC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48E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DBC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0.616*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1F8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889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DCC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A8A6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ABA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7DE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35B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</w:t>
            </w:r>
          </w:p>
        </w:tc>
      </w:tr>
      <w:tr w:rsidR="00B52BF6" w:rsidRPr="00B52BF6" w14:paraId="683F6B01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4F3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755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0.273*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DF86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0.188*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E082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CA5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7A1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BD5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C64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0.487*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B92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EB9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618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0.577*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A2C6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-0.193*</w:t>
            </w:r>
          </w:p>
        </w:tc>
      </w:tr>
      <w:tr w:rsidR="00B52BF6" w:rsidRPr="00B52BF6" w14:paraId="60D9B9AD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06D6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3B26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-0.179*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00D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F2E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7E6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0.350*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E99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6FD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76F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70A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230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F9F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0.623*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6A6D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-0.151</w:t>
            </w:r>
          </w:p>
        </w:tc>
      </w:tr>
      <w:tr w:rsidR="00B52BF6" w:rsidRPr="00B52BF6" w14:paraId="1DED242C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192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0DC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A91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C5B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396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0.367*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ED2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9922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99A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0.410*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54A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A072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396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0.194*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59A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-0.006</w:t>
            </w:r>
          </w:p>
        </w:tc>
      </w:tr>
      <w:tr w:rsidR="00B52BF6" w:rsidRPr="00B52BF6" w14:paraId="066E1606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65A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98C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0.373*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F37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49BD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8BA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0.669*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AE7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879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7CB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0.412*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DED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4CC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4FB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0.717*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1EBD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-0.07</w:t>
            </w:r>
          </w:p>
        </w:tc>
      </w:tr>
      <w:tr w:rsidR="00B52BF6" w:rsidRPr="00B52BF6" w14:paraId="4F11F0FF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A41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043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0.489*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51A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738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5E1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1E1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D12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015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0.611*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37B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8FF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F0B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0.536*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9152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0.057</w:t>
            </w:r>
          </w:p>
        </w:tc>
      </w:tr>
      <w:tr w:rsidR="00B52BF6" w:rsidRPr="00B52BF6" w14:paraId="4C255034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4A5D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C8E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D86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E89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C8A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0.489*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C7E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877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A472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0.783*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81A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C90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E83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0.292*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0DF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-0.031</w:t>
            </w:r>
          </w:p>
        </w:tc>
      </w:tr>
      <w:tr w:rsidR="00B52BF6" w:rsidRPr="00B52BF6" w14:paraId="76A05711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C06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A76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0.607*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09A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BAE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55E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0.370*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5F8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B69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15D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0.508*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1E6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7FE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E396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D872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0.058</w:t>
            </w:r>
          </w:p>
        </w:tc>
      </w:tr>
      <w:tr w:rsidR="00B52BF6" w:rsidRPr="00B52BF6" w14:paraId="0146B80B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163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43AD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0.639*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1BD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EC3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5BF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E5F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7A1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AF4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185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FB3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D0C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63A6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-0.017</w:t>
            </w:r>
          </w:p>
        </w:tc>
      </w:tr>
      <w:tr w:rsidR="00B52BF6" w:rsidRPr="00B52BF6" w14:paraId="4F0BDE6E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1E3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01D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777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730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A9D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0.395*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8A32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688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882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0.418*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B422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666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4B8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0.556*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BEB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-0.452*</w:t>
            </w:r>
          </w:p>
        </w:tc>
      </w:tr>
      <w:tr w:rsidR="00B52BF6" w:rsidRPr="00B52BF6" w14:paraId="44FCE615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FB4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9A0D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0.419*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B49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1D3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787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0.364*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C97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EE2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5DC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0.565*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CFC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687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B9E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0.589*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A5C2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-0.300*</w:t>
            </w:r>
          </w:p>
        </w:tc>
      </w:tr>
      <w:tr w:rsidR="00B52BF6" w:rsidRPr="00B52BF6" w14:paraId="1C2F303F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8EF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83A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7DE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0.256*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030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E90D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0.651*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473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5C0D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69B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693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7E1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C57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0.544*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5E4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-0.374*</w:t>
            </w:r>
          </w:p>
        </w:tc>
      </w:tr>
      <w:tr w:rsidR="00B52BF6" w:rsidRPr="00B52BF6" w14:paraId="25962380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96A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A17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0.674*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858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0.157*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7FB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051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0.273*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2D7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568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2AE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0.528*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A4ED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0.178*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FD1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A296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0.656*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540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-0.319*</w:t>
            </w:r>
          </w:p>
        </w:tc>
      </w:tr>
      <w:tr w:rsidR="00B52BF6" w:rsidRPr="00B52BF6" w14:paraId="48C1D49B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BDB2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012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0.296*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E99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0BD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039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0.359*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3C9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E45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DC3D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0.576*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C29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-0.160*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D7B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B46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0.298*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02F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0.769*</w:t>
            </w:r>
          </w:p>
        </w:tc>
      </w:tr>
      <w:tr w:rsidR="00B52BF6" w:rsidRPr="00B52BF6" w14:paraId="7E26399F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1E3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110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0.407*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11D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C4C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749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639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107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9972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0.478*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79A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358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0E66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4C26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0.910*</w:t>
            </w:r>
          </w:p>
        </w:tc>
      </w:tr>
      <w:tr w:rsidR="00B52BF6" w:rsidRPr="00B52BF6" w14:paraId="6F9E56DB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979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C456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0.455*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DA3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CBB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2EB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CB2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FC4D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DAFD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0.357*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CB3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E1E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4EB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0.419*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152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0.032</w:t>
            </w:r>
          </w:p>
        </w:tc>
      </w:tr>
      <w:tr w:rsidR="00B52BF6" w:rsidRPr="00B52BF6" w14:paraId="3705F238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04E6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B06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A99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48F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058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0.546*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5D9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522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C27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0.417*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56ED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9A1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3B1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0.498*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D50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0.112*</w:t>
            </w:r>
          </w:p>
        </w:tc>
      </w:tr>
      <w:tr w:rsidR="00B52BF6" w:rsidRPr="00B52BF6" w14:paraId="098F6EC6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256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098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0.430*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7EE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04E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4F4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0.581*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512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41F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0B3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84F6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-0.181*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C9ED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6CE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0.475*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B1A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0.063</w:t>
            </w:r>
          </w:p>
        </w:tc>
      </w:tr>
      <w:tr w:rsidR="00B52BF6" w:rsidRPr="00B52BF6" w14:paraId="47DC08F2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554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88B6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8FC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863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31D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0.744*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E07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5F1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ED2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0.318*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4F1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996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A8A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0.194*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181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-0.02</w:t>
            </w:r>
          </w:p>
        </w:tc>
      </w:tr>
      <w:tr w:rsidR="00B52BF6" w:rsidRPr="00B52BF6" w14:paraId="05E21FD5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01C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35A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0.482*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A23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859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11C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0.527*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0A82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09F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784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0.569*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52A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4A0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DB9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0.396*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082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0.032</w:t>
            </w:r>
          </w:p>
        </w:tc>
      </w:tr>
      <w:tr w:rsidR="00B52BF6" w:rsidRPr="00B52BF6" w14:paraId="660DA60A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E96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B32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0.600*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57C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0.201*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615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7C2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464D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0.450*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D63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829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0.354*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40D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307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562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0.492*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AE4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0.061</w:t>
            </w:r>
          </w:p>
        </w:tc>
      </w:tr>
      <w:tr w:rsidR="00B52BF6" w:rsidRPr="00B52BF6" w14:paraId="44D55AD6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B0D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EE7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143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325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E09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875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0.470*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865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B0B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0.625*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644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-0.348*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CA2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4C3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0.495*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678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0.326*</w:t>
            </w:r>
          </w:p>
        </w:tc>
      </w:tr>
      <w:tr w:rsidR="00B52BF6" w:rsidRPr="00B52BF6" w14:paraId="46ADED25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AC9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14E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0.324*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01F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600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2A2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0.482*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894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0.345*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7A9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982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0.430*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6EE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-0.136*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54E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281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0.530*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A08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0.063</w:t>
            </w:r>
          </w:p>
        </w:tc>
      </w:tr>
      <w:tr w:rsidR="00B52BF6" w:rsidRPr="00B52BF6" w14:paraId="22DE9378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897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BA0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0.571*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495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EA7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A8A2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0.623*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25E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84C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DEE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0.316*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C31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49A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A47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0.486*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4B1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-0.014</w:t>
            </w:r>
          </w:p>
        </w:tc>
      </w:tr>
      <w:tr w:rsidR="00B52BF6" w:rsidRPr="00B52BF6" w14:paraId="2FA06FDF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26B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A58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0.452*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FEBD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0.127*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46F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555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0.520*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A0E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724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7FE2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FCB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86E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EDC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0.457*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15C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-0.161</w:t>
            </w:r>
          </w:p>
        </w:tc>
      </w:tr>
      <w:tr w:rsidR="00B52BF6" w:rsidRPr="00B52BF6" w14:paraId="02542D2D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811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7F2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0.391*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FA47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454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1D5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0.434*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982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1DC9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670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94E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-0.153*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D9C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7C4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0.324*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A93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-0.188</w:t>
            </w:r>
          </w:p>
        </w:tc>
      </w:tr>
      <w:tr w:rsidR="00B52BF6" w:rsidRPr="00B52BF6" w14:paraId="1CF3A077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BF6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E5F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0.561*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CB3D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-0.119*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C312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5032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0.544*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730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4D0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C09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0.657*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196D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-0.325*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49D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450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0.550*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C0F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-0.119</w:t>
            </w:r>
          </w:p>
        </w:tc>
      </w:tr>
      <w:tr w:rsidR="00B52BF6" w:rsidRPr="00B52BF6" w14:paraId="25E95CCA" w14:textId="77777777" w:rsidTr="00B231E1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B09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CBD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0.270*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1282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0.152*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D493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F2F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0.574*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558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028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7AEC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0.563*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5CE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0.129*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6B2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917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0.488*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0A9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-0.173*</w:t>
            </w:r>
          </w:p>
        </w:tc>
      </w:tr>
      <w:tr w:rsidR="00B52BF6" w:rsidRPr="00B52BF6" w14:paraId="65549AA2" w14:textId="77777777" w:rsidTr="001F490C">
        <w:trPr>
          <w:trHeight w:val="288"/>
        </w:trPr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81E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6B6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0.264*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A72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-0.028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A292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957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0.557*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4C6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-0.055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DDAA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6D9D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0.530*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1C5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-0.041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338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DBC0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0.636*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36A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-0.112*</w:t>
            </w:r>
          </w:p>
        </w:tc>
      </w:tr>
      <w:tr w:rsidR="00B52BF6" w:rsidRPr="00B52BF6" w14:paraId="6B596BF2" w14:textId="77777777" w:rsidTr="001F490C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D287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75C56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0.331*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E451B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0.216*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DEBEE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1027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0.558*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89CD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5EFD8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F2874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0.692*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FD511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-0.139*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DA872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3EAE5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0.638*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6FF9F" w14:textId="77777777" w:rsidR="00B52BF6" w:rsidRPr="00B52BF6" w:rsidRDefault="00B52BF6" w:rsidP="00B5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52B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-0.238*</w:t>
            </w:r>
          </w:p>
        </w:tc>
      </w:tr>
    </w:tbl>
    <w:p w14:paraId="36DEF00C" w14:textId="10DC86C4" w:rsidR="002847BB" w:rsidRPr="000C6FE7" w:rsidRDefault="001C6595" w:rsidP="00830B01">
      <w:pPr>
        <w:spacing w:after="0" w:line="240" w:lineRule="auto"/>
        <w:rPr>
          <w:rFonts w:cstheme="minorHAnsi"/>
          <w:color w:val="222222"/>
          <w:sz w:val="20"/>
          <w:szCs w:val="23"/>
          <w:shd w:val="clear" w:color="auto" w:fill="FFFFFF"/>
        </w:rPr>
      </w:pPr>
      <w:r w:rsidRPr="000C6FE7">
        <w:rPr>
          <w:rFonts w:cstheme="minorHAnsi"/>
          <w:color w:val="222222"/>
          <w:sz w:val="20"/>
          <w:szCs w:val="23"/>
          <w:shd w:val="clear" w:color="auto" w:fill="FFFFFF"/>
        </w:rPr>
        <w:t xml:space="preserve">NOTE:  </w:t>
      </w:r>
      <w:r w:rsidR="003B09C6" w:rsidRPr="000C6FE7">
        <w:rPr>
          <w:rFonts w:cstheme="minorHAnsi"/>
          <w:color w:val="222222"/>
          <w:sz w:val="20"/>
          <w:szCs w:val="23"/>
          <w:shd w:val="clear" w:color="auto" w:fill="FFFFFF"/>
        </w:rPr>
        <w:t>Boldface items indicate SBT items</w:t>
      </w:r>
    </w:p>
    <w:p w14:paraId="0C1F675E" w14:textId="62F11846" w:rsidR="00233A25" w:rsidRPr="000C6FE7" w:rsidRDefault="003B09C6" w:rsidP="00682870">
      <w:pPr>
        <w:spacing w:after="0" w:line="240" w:lineRule="auto"/>
        <w:ind w:left="720" w:hanging="720"/>
        <w:rPr>
          <w:rFonts w:cstheme="minorHAnsi"/>
          <w:color w:val="222222"/>
          <w:sz w:val="20"/>
          <w:szCs w:val="23"/>
          <w:shd w:val="clear" w:color="auto" w:fill="FFFFFF"/>
        </w:rPr>
      </w:pPr>
      <w:r w:rsidRPr="000C6FE7">
        <w:rPr>
          <w:rFonts w:cstheme="minorHAnsi"/>
          <w:color w:val="222222"/>
          <w:sz w:val="20"/>
          <w:szCs w:val="23"/>
          <w:shd w:val="clear" w:color="auto" w:fill="FFFFFF"/>
        </w:rPr>
        <w:t xml:space="preserve">* </w:t>
      </w:r>
      <w:r w:rsidRPr="000C6FE7">
        <w:rPr>
          <w:rFonts w:cstheme="minorHAnsi"/>
          <w:i/>
          <w:color w:val="222222"/>
          <w:sz w:val="20"/>
          <w:szCs w:val="23"/>
          <w:shd w:val="clear" w:color="auto" w:fill="FFFFFF"/>
        </w:rPr>
        <w:t>p</w:t>
      </w:r>
      <w:r w:rsidRPr="000C6FE7">
        <w:rPr>
          <w:rFonts w:cstheme="minorHAnsi"/>
          <w:color w:val="222222"/>
          <w:sz w:val="20"/>
          <w:szCs w:val="23"/>
          <w:shd w:val="clear" w:color="auto" w:fill="FFFFFF"/>
        </w:rPr>
        <w:t xml:space="preserve"> &lt; .05.</w:t>
      </w:r>
    </w:p>
    <w:sectPr w:rsidR="00233A25" w:rsidRPr="000C6FE7" w:rsidSect="008D11BE">
      <w:footerReference w:type="default" r:id="rId12"/>
      <w:footerReference w:type="first" r:id="rId13"/>
      <w:pgSz w:w="12240" w:h="15840"/>
      <w:pgMar w:top="1440" w:right="1080" w:bottom="1440" w:left="1080" w:header="720" w:footer="432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0C66C4" w16cex:dateUtc="2021-03-29T18:46:00Z"/>
  <w16cex:commentExtensible w16cex:durableId="240C689B" w16cex:dateUtc="2021-03-29T18:54:00Z"/>
  <w16cex:commentExtensible w16cex:durableId="240C6E31" w16cex:dateUtc="2021-03-29T19:18:00Z"/>
  <w16cex:commentExtensible w16cex:durableId="240C6F24" w16cex:dateUtc="2021-03-29T19:22:00Z"/>
  <w16cex:commentExtensible w16cex:durableId="240C73E5" w16cex:dateUtc="2021-03-29T19:42:00Z"/>
  <w16cex:commentExtensible w16cex:durableId="7B6EDEB9" w16cex:dateUtc="2021-04-21T13:34:40.653Z"/>
  <w16cex:commentExtensible w16cex:durableId="5AB725D3" w16cex:dateUtc="2021-04-21T13:44:47.623Z"/>
  <w16cex:commentExtensible w16cex:durableId="472AB75F" w16cex:dateUtc="2021-04-21T13:45:29.976Z"/>
  <w16cex:commentExtensible w16cex:durableId="70495A26" w16cex:dateUtc="2021-04-21T13:48:10.696Z"/>
  <w16cex:commentExtensible w16cex:durableId="3DAE9643" w16cex:dateUtc="2021-04-21T13:50:57.693Z"/>
  <w16cex:commentExtensible w16cex:durableId="25118032" w16cex:dateUtc="2021-04-21T13:52:29.362Z"/>
  <w16cex:commentExtensible w16cex:durableId="7EDB7A0D" w16cex:dateUtc="2021-04-21T14:06:18.119Z"/>
  <w16cex:commentExtensible w16cex:durableId="2D2D7BF9" w16cex:dateUtc="2021-04-21T14:09:08.358Z"/>
  <w16cex:commentExtensible w16cex:durableId="019CF41F" w16cex:dateUtc="2021-04-21T14:13:04.491Z"/>
  <w16cex:commentExtensible w16cex:durableId="252EA78A" w16cex:dateUtc="2021-04-22T13:39:18.175Z"/>
  <w16cex:commentExtensible w16cex:durableId="62122643" w16cex:dateUtc="2021-04-23T13:16:22.13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FC583" w14:textId="77777777" w:rsidR="00ED7A5D" w:rsidRDefault="00ED7A5D" w:rsidP="00682870">
      <w:pPr>
        <w:spacing w:after="0" w:line="240" w:lineRule="auto"/>
      </w:pPr>
      <w:r>
        <w:separator/>
      </w:r>
    </w:p>
  </w:endnote>
  <w:endnote w:type="continuationSeparator" w:id="0">
    <w:p w14:paraId="053054B0" w14:textId="77777777" w:rsidR="00ED7A5D" w:rsidRDefault="00ED7A5D" w:rsidP="00682870">
      <w:pPr>
        <w:spacing w:after="0" w:line="240" w:lineRule="auto"/>
      </w:pPr>
      <w:r>
        <w:continuationSeparator/>
      </w:r>
    </w:p>
  </w:endnote>
  <w:endnote w:type="continuationNotice" w:id="1">
    <w:p w14:paraId="2FB52A99" w14:textId="77777777" w:rsidR="00ED7A5D" w:rsidRDefault="00ED7A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6116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C03330" w14:textId="35A00F64" w:rsidR="00B75728" w:rsidRDefault="00B757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05FCF7" w14:textId="77777777" w:rsidR="00B75728" w:rsidRDefault="00B75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245B50" w14:paraId="498164B0" w14:textId="77777777" w:rsidTr="00682870">
      <w:tc>
        <w:tcPr>
          <w:tcW w:w="3120" w:type="dxa"/>
        </w:tcPr>
        <w:p w14:paraId="2924EC5A" w14:textId="77777777" w:rsidR="00245B50" w:rsidRDefault="00245B50" w:rsidP="00682870">
          <w:pPr>
            <w:pStyle w:val="Header"/>
            <w:ind w:left="-115"/>
          </w:pPr>
        </w:p>
      </w:tc>
      <w:tc>
        <w:tcPr>
          <w:tcW w:w="3120" w:type="dxa"/>
        </w:tcPr>
        <w:p w14:paraId="088C0EF1" w14:textId="77777777" w:rsidR="00245B50" w:rsidRDefault="00245B50" w:rsidP="00682870">
          <w:pPr>
            <w:pStyle w:val="Header"/>
            <w:jc w:val="center"/>
          </w:pPr>
        </w:p>
      </w:tc>
      <w:tc>
        <w:tcPr>
          <w:tcW w:w="3120" w:type="dxa"/>
        </w:tcPr>
        <w:p w14:paraId="0025E9A7" w14:textId="77777777" w:rsidR="00245B50" w:rsidRDefault="00245B50" w:rsidP="00682870">
          <w:pPr>
            <w:pStyle w:val="Header"/>
            <w:ind w:right="-115"/>
            <w:jc w:val="right"/>
          </w:pPr>
        </w:p>
      </w:tc>
    </w:tr>
  </w:tbl>
  <w:p w14:paraId="0400968C" w14:textId="77777777" w:rsidR="00245B50" w:rsidRDefault="00245B50" w:rsidP="00682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4C1AD" w14:textId="77777777" w:rsidR="00ED7A5D" w:rsidRDefault="00ED7A5D" w:rsidP="00682870">
      <w:pPr>
        <w:spacing w:after="0" w:line="240" w:lineRule="auto"/>
      </w:pPr>
      <w:r>
        <w:separator/>
      </w:r>
    </w:p>
  </w:footnote>
  <w:footnote w:type="continuationSeparator" w:id="0">
    <w:p w14:paraId="60794D56" w14:textId="77777777" w:rsidR="00ED7A5D" w:rsidRDefault="00ED7A5D" w:rsidP="00682870">
      <w:pPr>
        <w:spacing w:after="0" w:line="240" w:lineRule="auto"/>
      </w:pPr>
      <w:r>
        <w:continuationSeparator/>
      </w:r>
    </w:p>
  </w:footnote>
  <w:footnote w:type="continuationNotice" w:id="1">
    <w:p w14:paraId="08683475" w14:textId="77777777" w:rsidR="00ED7A5D" w:rsidRDefault="00ED7A5D">
      <w:pPr>
        <w:spacing w:after="0" w:line="240" w:lineRule="auto"/>
      </w:pPr>
    </w:p>
  </w:footnote>
  <w:footnote w:id="2">
    <w:p w14:paraId="4447E168" w14:textId="1FD403AF" w:rsidR="00245B50" w:rsidRPr="002702C3" w:rsidRDefault="00245B50">
      <w:pPr>
        <w:pStyle w:val="FootnoteText"/>
        <w:rPr>
          <w:rFonts w:asciiTheme="minorHAnsi" w:hAnsiTheme="minorHAnsi" w:cstheme="minorHAnsi"/>
        </w:rPr>
      </w:pPr>
      <w:r w:rsidRPr="002702C3">
        <w:rPr>
          <w:rStyle w:val="FootnoteReference"/>
          <w:rFonts w:asciiTheme="minorHAnsi" w:hAnsiTheme="minorHAnsi" w:cstheme="minorHAnsi"/>
        </w:rPr>
        <w:footnoteRef/>
      </w:r>
      <w:r w:rsidRPr="002702C3">
        <w:rPr>
          <w:rFonts w:asciiTheme="minorHAnsi" w:hAnsiTheme="minorHAnsi" w:cstheme="minorHAnsi"/>
        </w:rPr>
        <w:t xml:space="preserve"> See glossary of NAEP terminology at https://www.nationsreportcard.gov/glossary.aspx#region</w:t>
      </w:r>
    </w:p>
  </w:footnote>
  <w:footnote w:id="3">
    <w:p w14:paraId="6FAC42A4" w14:textId="791ABEDF" w:rsidR="00245B50" w:rsidRPr="002702C3" w:rsidRDefault="00245B50" w:rsidP="4C34B60F">
      <w:pPr>
        <w:pStyle w:val="FootnoteText"/>
        <w:rPr>
          <w:rFonts w:asciiTheme="minorHAnsi" w:hAnsiTheme="minorHAnsi" w:cstheme="minorBidi"/>
        </w:rPr>
      </w:pPr>
      <w:r w:rsidRPr="4C34B60F">
        <w:rPr>
          <w:rStyle w:val="FootnoteReference"/>
          <w:rFonts w:asciiTheme="minorHAnsi" w:hAnsiTheme="minorHAnsi" w:cstheme="minorBidi"/>
        </w:rPr>
        <w:footnoteRef/>
      </w:r>
      <w:r w:rsidR="4C34B60F" w:rsidRPr="4C34B60F">
        <w:rPr>
          <w:rFonts w:asciiTheme="minorHAnsi" w:hAnsiTheme="minorHAnsi" w:cstheme="minorBidi"/>
        </w:rPr>
        <w:t xml:space="preserve"> At grade 12, there were two SBTs</w:t>
      </w:r>
      <w:r w:rsidR="4C34B60F" w:rsidRPr="4C34B60F" w:rsidDel="002E444B">
        <w:rPr>
          <w:rFonts w:asciiTheme="minorHAnsi" w:hAnsiTheme="minorHAnsi" w:cstheme="minorBidi"/>
        </w:rPr>
        <w:t xml:space="preserve"> </w:t>
      </w:r>
      <w:r w:rsidR="4C34B60F" w:rsidRPr="4C34B60F">
        <w:rPr>
          <w:rFonts w:asciiTheme="minorHAnsi" w:hAnsiTheme="minorHAnsi" w:cstheme="minorBidi"/>
        </w:rPr>
        <w:t>that were 15 minutes each. These were paired</w:t>
      </w:r>
      <w:r w:rsidR="0057106E">
        <w:rPr>
          <w:rFonts w:asciiTheme="minorHAnsi" w:hAnsiTheme="minorHAnsi" w:cstheme="minorBidi"/>
        </w:rPr>
        <w:t xml:space="preserve"> in</w:t>
      </w:r>
      <w:r w:rsidR="4C34B60F" w:rsidRPr="4C34B60F">
        <w:rPr>
          <w:rFonts w:asciiTheme="minorHAnsi" w:hAnsiTheme="minorHAnsi" w:cstheme="minorBidi"/>
        </w:rPr>
        <w:t xml:space="preserve"> a single 30-minute unit.</w:t>
      </w:r>
    </w:p>
  </w:footnote>
  <w:footnote w:id="4">
    <w:p w14:paraId="65EB0003" w14:textId="4DCF3BF2" w:rsidR="00245B50" w:rsidRPr="00374975" w:rsidRDefault="00245B50" w:rsidP="00A858D4">
      <w:pPr>
        <w:pStyle w:val="FootnoteText"/>
        <w:ind w:left="108" w:hanging="108"/>
        <w:rPr>
          <w:rFonts w:asciiTheme="minorHAnsi" w:hAnsiTheme="minorHAnsi" w:cstheme="minorBidi"/>
        </w:rPr>
      </w:pPr>
      <w:r w:rsidRPr="4C34B60F">
        <w:rPr>
          <w:rStyle w:val="FootnoteReference"/>
          <w:rFonts w:asciiTheme="minorHAnsi" w:hAnsiTheme="minorHAnsi" w:cstheme="minorBidi"/>
        </w:rPr>
        <w:footnoteRef/>
      </w:r>
      <w:r w:rsidR="4C34B60F" w:rsidRPr="4C34B60F">
        <w:rPr>
          <w:rFonts w:asciiTheme="minorHAnsi" w:hAnsiTheme="minorHAnsi" w:cstheme="minorBidi"/>
        </w:rPr>
        <w:t xml:space="preserve"> Note that the estimation does not account for dependence between observations due to clustering in the sample. As a result, estimates may underestimate the true variability.  For the purposes of the present analysis, this was deemed acceptable.</w:t>
      </w:r>
    </w:p>
  </w:footnote>
  <w:footnote w:id="5">
    <w:p w14:paraId="3EA88B38" w14:textId="7EF8B66C" w:rsidR="00245B50" w:rsidRPr="00605BE7" w:rsidRDefault="00245B50" w:rsidP="00A858D4">
      <w:pPr>
        <w:pStyle w:val="FootnoteText"/>
        <w:ind w:left="108" w:hanging="108"/>
        <w:rPr>
          <w:rFonts w:asciiTheme="minorHAnsi" w:hAnsiTheme="minorHAnsi" w:cstheme="minorBidi"/>
        </w:rPr>
      </w:pPr>
      <w:r w:rsidRPr="4C34B60F">
        <w:rPr>
          <w:rStyle w:val="FootnoteReference"/>
          <w:rFonts w:asciiTheme="minorHAnsi" w:hAnsiTheme="minorHAnsi" w:cstheme="minorBidi"/>
        </w:rPr>
        <w:footnoteRef/>
      </w:r>
      <w:r w:rsidR="4C34B60F" w:rsidRPr="4C34B60F">
        <w:rPr>
          <w:rFonts w:asciiTheme="minorHAnsi" w:hAnsiTheme="minorHAnsi" w:cstheme="minorBidi"/>
        </w:rPr>
        <w:t xml:space="preserve"> The model at grades 4 and 8 both contained 3 task-specific factors, as there were 3 SBTs in each grade. At grade 12, there were 5 SBTs,  so 5 task-specific factors were defined.</w:t>
      </w:r>
    </w:p>
  </w:footnote>
  <w:footnote w:id="6">
    <w:p w14:paraId="3CA658DF" w14:textId="1CAC7F72" w:rsidR="00245B50" w:rsidRPr="00605BE7" w:rsidRDefault="00245B50" w:rsidP="00A858D4">
      <w:pPr>
        <w:pStyle w:val="FootnoteText"/>
        <w:ind w:left="108" w:hanging="108"/>
        <w:rPr>
          <w:rFonts w:asciiTheme="minorHAnsi" w:hAnsiTheme="minorHAnsi" w:cstheme="minorHAnsi"/>
        </w:rPr>
      </w:pPr>
      <w:r w:rsidRPr="00605BE7">
        <w:rPr>
          <w:rStyle w:val="FootnoteReference"/>
          <w:rFonts w:asciiTheme="minorHAnsi" w:hAnsiTheme="minorHAnsi" w:cstheme="minorHAnsi"/>
        </w:rPr>
        <w:footnoteRef/>
      </w:r>
      <w:r w:rsidRPr="00605BE7">
        <w:rPr>
          <w:rFonts w:asciiTheme="minorHAnsi" w:hAnsiTheme="minorHAnsi" w:cstheme="minorHAnsi"/>
        </w:rPr>
        <w:t xml:space="preserve"> Note that the estimation does not account for dependence between observations due to clustering in the sample. As a result, estimates may</w:t>
      </w:r>
      <w:r w:rsidRPr="00605BE7" w:rsidDel="00C079CE">
        <w:rPr>
          <w:rFonts w:asciiTheme="minorHAnsi" w:hAnsiTheme="minorHAnsi" w:cstheme="minorHAnsi"/>
        </w:rPr>
        <w:t xml:space="preserve"> </w:t>
      </w:r>
      <w:r w:rsidRPr="00605BE7">
        <w:rPr>
          <w:rFonts w:asciiTheme="minorHAnsi" w:hAnsiTheme="minorHAnsi" w:cstheme="minorHAnsi"/>
        </w:rPr>
        <w:t>underestimate the true variability.  For the purposes of the present analysis, this was deemed acceptable.</w:t>
      </w:r>
    </w:p>
  </w:footnote>
  <w:footnote w:id="7">
    <w:p w14:paraId="2E6445AA" w14:textId="267B52D5" w:rsidR="00245B50" w:rsidRPr="000153EB" w:rsidRDefault="4C34B60F" w:rsidP="00A858D4">
      <w:pPr>
        <w:pStyle w:val="FootnoteText"/>
        <w:ind w:left="108" w:hanging="108"/>
        <w:rPr>
          <w:rFonts w:asciiTheme="minorHAnsi" w:hAnsiTheme="minorHAnsi" w:cstheme="minorBidi"/>
        </w:rPr>
      </w:pPr>
      <w:r w:rsidRPr="4C34B60F">
        <w:rPr>
          <w:rFonts w:asciiTheme="minorHAnsi" w:hAnsiTheme="minorHAnsi" w:cstheme="minorBidi"/>
          <w:vertAlign w:val="superscript"/>
        </w:rPr>
        <w:t>6</w:t>
      </w:r>
      <w:r w:rsidRPr="4C34B60F">
        <w:rPr>
          <w:rFonts w:asciiTheme="minorHAnsi" w:hAnsiTheme="minorHAnsi" w:cstheme="minorBidi"/>
        </w:rPr>
        <w:t>Results of the full DBA sample were linked to the Science trend reporting scale through common-population linking to the 2019 paper-based assessment (PBA) sample. The same linking approach applies to the results of the discrete-only sample. Consequently, the mean and SD of the full DBA sample are identical to those of the discrete sample.</w:t>
      </w:r>
    </w:p>
  </w:footnote>
  <w:footnote w:id="8">
    <w:p w14:paraId="4E9BD9F5" w14:textId="2275373C" w:rsidR="00245B50" w:rsidRPr="00D6499A" w:rsidRDefault="00245B50" w:rsidP="00A858D4">
      <w:pPr>
        <w:pStyle w:val="FootnoteText"/>
        <w:ind w:left="108" w:hanging="108"/>
        <w:rPr>
          <w:rFonts w:asciiTheme="minorHAnsi" w:hAnsiTheme="minorHAnsi" w:cstheme="minorBidi"/>
        </w:rPr>
      </w:pPr>
      <w:r w:rsidRPr="4C34B60F">
        <w:rPr>
          <w:rStyle w:val="FootnoteReference"/>
          <w:rFonts w:asciiTheme="minorHAnsi" w:hAnsiTheme="minorHAnsi" w:cstheme="minorBidi"/>
        </w:rPr>
        <w:footnoteRef/>
      </w:r>
      <w:r w:rsidR="4C34B60F" w:rsidRPr="4C34B60F">
        <w:rPr>
          <w:rFonts w:asciiTheme="minorHAnsi" w:hAnsiTheme="minorHAnsi" w:cstheme="minorBidi"/>
        </w:rPr>
        <w:t xml:space="preserve"> The design of the 2019 samples resulted in randomly equivalent groups of students who took PBA and DBA, supporting the assumption of common-population linking. Similarly, within the DBA, the DI sample, mixed-form sample, and SBT sample are randomly equivalent.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ED48ED"/>
    <w:multiLevelType w:val="hybridMultilevel"/>
    <w:tmpl w:val="3D4A0C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multilevel"/>
    <w:tmpl w:val="E74C02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D"/>
    <w:multiLevelType w:val="multilevel"/>
    <w:tmpl w:val="0CF8EB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E"/>
    <w:multiLevelType w:val="multilevel"/>
    <w:tmpl w:val="96920A2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7F"/>
    <w:multiLevelType w:val="multilevel"/>
    <w:tmpl w:val="D414A2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0"/>
    <w:multiLevelType w:val="multilevel"/>
    <w:tmpl w:val="7D8018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1"/>
    <w:multiLevelType w:val="multilevel"/>
    <w:tmpl w:val="6E0C1A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2"/>
    <w:multiLevelType w:val="multilevel"/>
    <w:tmpl w:val="3C0E410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3"/>
    <w:multiLevelType w:val="multilevel"/>
    <w:tmpl w:val="5464EA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8"/>
    <w:multiLevelType w:val="multilevel"/>
    <w:tmpl w:val="D0C00C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FFFFF89"/>
    <w:multiLevelType w:val="multilevel"/>
    <w:tmpl w:val="B39CF2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FFFFFFB"/>
    <w:multiLevelType w:val="multilevel"/>
    <w:tmpl w:val="225C82DC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00001A"/>
    <w:multiLevelType w:val="singleLevel"/>
    <w:tmpl w:val="00000000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288" w:hanging="288"/>
      </w:pPr>
      <w:rPr>
        <w:rFonts w:ascii="Verdana" w:hAnsi="Verdana" w:hint="default"/>
        <w:sz w:val="18"/>
      </w:rPr>
    </w:lvl>
  </w:abstractNum>
  <w:abstractNum w:abstractNumId="13" w15:restartNumberingAfterBreak="0">
    <w:nsid w:val="0000001B"/>
    <w:multiLevelType w:val="multilevel"/>
    <w:tmpl w:val="BB74C438"/>
    <w:lvl w:ilvl="0">
      <w:start w:val="1"/>
      <w:numFmt w:val="bullet"/>
      <w:pStyle w:val="Body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6AF2355"/>
    <w:multiLevelType w:val="hybridMultilevel"/>
    <w:tmpl w:val="11A66EA0"/>
    <w:lvl w:ilvl="0" w:tplc="040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97ED3"/>
    <w:multiLevelType w:val="hybridMultilevel"/>
    <w:tmpl w:val="8D569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EE22816"/>
    <w:multiLevelType w:val="hybridMultilevel"/>
    <w:tmpl w:val="1FA8D444"/>
    <w:lvl w:ilvl="0" w:tplc="F29005F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9A2C1A"/>
    <w:multiLevelType w:val="hybridMultilevel"/>
    <w:tmpl w:val="0BB43BE4"/>
    <w:lvl w:ilvl="0" w:tplc="35C2E3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0D44EDA"/>
    <w:multiLevelType w:val="hybridMultilevel"/>
    <w:tmpl w:val="F6B8A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82775B"/>
    <w:multiLevelType w:val="multilevel"/>
    <w:tmpl w:val="944488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16A86DF5"/>
    <w:multiLevelType w:val="multilevel"/>
    <w:tmpl w:val="613C8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235560"/>
    <w:multiLevelType w:val="hybridMultilevel"/>
    <w:tmpl w:val="C3A07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274C30"/>
    <w:multiLevelType w:val="hybridMultilevel"/>
    <w:tmpl w:val="BD02A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F51245"/>
    <w:multiLevelType w:val="hybridMultilevel"/>
    <w:tmpl w:val="B3EA8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74A64"/>
    <w:multiLevelType w:val="hybridMultilevel"/>
    <w:tmpl w:val="4366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A64C65"/>
    <w:multiLevelType w:val="hybridMultilevel"/>
    <w:tmpl w:val="F1C8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95335"/>
    <w:multiLevelType w:val="hybridMultilevel"/>
    <w:tmpl w:val="9CF4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EC522D"/>
    <w:multiLevelType w:val="hybridMultilevel"/>
    <w:tmpl w:val="7B784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351C4"/>
    <w:multiLevelType w:val="hybridMultilevel"/>
    <w:tmpl w:val="3356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C6E2B"/>
    <w:multiLevelType w:val="hybridMultilevel"/>
    <w:tmpl w:val="5A725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C1D0C"/>
    <w:multiLevelType w:val="hybridMultilevel"/>
    <w:tmpl w:val="27569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30C4571"/>
    <w:multiLevelType w:val="hybridMultilevel"/>
    <w:tmpl w:val="75D0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14FC7"/>
    <w:multiLevelType w:val="hybridMultilevel"/>
    <w:tmpl w:val="1E6134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ABA18B1"/>
    <w:multiLevelType w:val="hybridMultilevel"/>
    <w:tmpl w:val="7AF2FD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D346209"/>
    <w:multiLevelType w:val="hybridMultilevel"/>
    <w:tmpl w:val="3AF89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46193"/>
    <w:multiLevelType w:val="hybridMultilevel"/>
    <w:tmpl w:val="0BB43BE4"/>
    <w:lvl w:ilvl="0" w:tplc="35C2E3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B22AD4"/>
    <w:multiLevelType w:val="hybridMultilevel"/>
    <w:tmpl w:val="86669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C4C6F55"/>
    <w:multiLevelType w:val="hybridMultilevel"/>
    <w:tmpl w:val="F6B8A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5394E"/>
    <w:multiLevelType w:val="hybridMultilevel"/>
    <w:tmpl w:val="2FAC5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E6E4055"/>
    <w:multiLevelType w:val="hybridMultilevel"/>
    <w:tmpl w:val="56C2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91F70"/>
    <w:multiLevelType w:val="hybridMultilevel"/>
    <w:tmpl w:val="7902D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101142D"/>
    <w:multiLevelType w:val="hybridMultilevel"/>
    <w:tmpl w:val="695EB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93956C2"/>
    <w:multiLevelType w:val="hybridMultilevel"/>
    <w:tmpl w:val="2EF4C9E6"/>
    <w:lvl w:ilvl="0" w:tplc="574EBB8E">
      <w:start w:val="1"/>
      <w:numFmt w:val="none"/>
      <w:pStyle w:val="Number2"/>
      <w:lvlText w:val=""/>
      <w:legacy w:legacy="1" w:legacySpace="0" w:legacyIndent="360"/>
      <w:lvlJc w:val="left"/>
      <w:pPr>
        <w:ind w:left="1080" w:hanging="360"/>
      </w:pPr>
      <w:rPr>
        <w:rFonts w:ascii="Courier New" w:hAnsi="Courier New" w:hint="default"/>
      </w:rPr>
    </w:lvl>
    <w:lvl w:ilvl="1" w:tplc="CA6889F8">
      <w:numFmt w:val="decimal"/>
      <w:lvlText w:val=""/>
      <w:lvlJc w:val="left"/>
    </w:lvl>
    <w:lvl w:ilvl="2" w:tplc="7206BC30">
      <w:numFmt w:val="decimal"/>
      <w:lvlText w:val=""/>
      <w:lvlJc w:val="left"/>
    </w:lvl>
    <w:lvl w:ilvl="3" w:tplc="1088B662">
      <w:numFmt w:val="decimal"/>
      <w:lvlText w:val=""/>
      <w:lvlJc w:val="left"/>
    </w:lvl>
    <w:lvl w:ilvl="4" w:tplc="68AC29AE">
      <w:numFmt w:val="decimal"/>
      <w:lvlText w:val=""/>
      <w:lvlJc w:val="left"/>
    </w:lvl>
    <w:lvl w:ilvl="5" w:tplc="4742356A">
      <w:numFmt w:val="decimal"/>
      <w:lvlText w:val=""/>
      <w:lvlJc w:val="left"/>
    </w:lvl>
    <w:lvl w:ilvl="6" w:tplc="B5DC4F20">
      <w:numFmt w:val="decimal"/>
      <w:lvlText w:val=""/>
      <w:lvlJc w:val="left"/>
    </w:lvl>
    <w:lvl w:ilvl="7" w:tplc="0CD00D4A">
      <w:numFmt w:val="decimal"/>
      <w:lvlText w:val=""/>
      <w:lvlJc w:val="left"/>
    </w:lvl>
    <w:lvl w:ilvl="8" w:tplc="173482D2">
      <w:numFmt w:val="decimal"/>
      <w:lvlText w:val=""/>
      <w:lvlJc w:val="left"/>
    </w:lvl>
  </w:abstractNum>
  <w:abstractNum w:abstractNumId="43" w15:restartNumberingAfterBreak="0">
    <w:nsid w:val="7ABC5646"/>
    <w:multiLevelType w:val="hybridMultilevel"/>
    <w:tmpl w:val="F6B8A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1"/>
  </w:num>
  <w:num w:numId="15">
    <w:abstractNumId w:val="42"/>
  </w:num>
  <w:num w:numId="16">
    <w:abstractNumId w:val="13"/>
  </w:num>
  <w:num w:numId="17">
    <w:abstractNumId w:val="34"/>
  </w:num>
  <w:num w:numId="18">
    <w:abstractNumId w:val="29"/>
  </w:num>
  <w:num w:numId="19">
    <w:abstractNumId w:val="22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3"/>
  </w:num>
  <w:num w:numId="23">
    <w:abstractNumId w:val="32"/>
  </w:num>
  <w:num w:numId="24">
    <w:abstractNumId w:val="15"/>
  </w:num>
  <w:num w:numId="25">
    <w:abstractNumId w:val="38"/>
  </w:num>
  <w:num w:numId="26">
    <w:abstractNumId w:val="36"/>
  </w:num>
  <w:num w:numId="27">
    <w:abstractNumId w:val="41"/>
  </w:num>
  <w:num w:numId="28">
    <w:abstractNumId w:val="40"/>
  </w:num>
  <w:num w:numId="29">
    <w:abstractNumId w:val="30"/>
  </w:num>
  <w:num w:numId="30">
    <w:abstractNumId w:val="31"/>
  </w:num>
  <w:num w:numId="31">
    <w:abstractNumId w:val="25"/>
  </w:num>
  <w:num w:numId="32">
    <w:abstractNumId w:val="27"/>
  </w:num>
  <w:num w:numId="33">
    <w:abstractNumId w:val="14"/>
  </w:num>
  <w:num w:numId="34">
    <w:abstractNumId w:val="18"/>
  </w:num>
  <w:num w:numId="35">
    <w:abstractNumId w:val="37"/>
  </w:num>
  <w:num w:numId="36">
    <w:abstractNumId w:val="43"/>
  </w:num>
  <w:num w:numId="37">
    <w:abstractNumId w:val="35"/>
  </w:num>
  <w:num w:numId="38">
    <w:abstractNumId w:val="17"/>
  </w:num>
  <w:num w:numId="39">
    <w:abstractNumId w:val="21"/>
  </w:num>
  <w:num w:numId="40">
    <w:abstractNumId w:val="28"/>
  </w:num>
  <w:num w:numId="41">
    <w:abstractNumId w:val="26"/>
  </w:num>
  <w:num w:numId="42">
    <w:abstractNumId w:val="39"/>
  </w:num>
  <w:num w:numId="43">
    <w:abstractNumId w:val="20"/>
  </w:num>
  <w:num w:numId="44">
    <w:abstractNumId w:val="2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70"/>
    <w:rsid w:val="00000F05"/>
    <w:rsid w:val="00001F59"/>
    <w:rsid w:val="0000300C"/>
    <w:rsid w:val="00003106"/>
    <w:rsid w:val="000031B8"/>
    <w:rsid w:val="000054CA"/>
    <w:rsid w:val="000100FA"/>
    <w:rsid w:val="0001140E"/>
    <w:rsid w:val="00011A91"/>
    <w:rsid w:val="00014242"/>
    <w:rsid w:val="000153EB"/>
    <w:rsid w:val="000154FB"/>
    <w:rsid w:val="00016816"/>
    <w:rsid w:val="00017DFB"/>
    <w:rsid w:val="000203FF"/>
    <w:rsid w:val="00020BBC"/>
    <w:rsid w:val="00020EDC"/>
    <w:rsid w:val="00020F93"/>
    <w:rsid w:val="000225E2"/>
    <w:rsid w:val="0002375C"/>
    <w:rsid w:val="00025490"/>
    <w:rsid w:val="00025651"/>
    <w:rsid w:val="0002698C"/>
    <w:rsid w:val="00030458"/>
    <w:rsid w:val="000352D1"/>
    <w:rsid w:val="0003569A"/>
    <w:rsid w:val="000364E5"/>
    <w:rsid w:val="00037682"/>
    <w:rsid w:val="000419A1"/>
    <w:rsid w:val="00043937"/>
    <w:rsid w:val="00045393"/>
    <w:rsid w:val="00047429"/>
    <w:rsid w:val="00047695"/>
    <w:rsid w:val="00051F5A"/>
    <w:rsid w:val="00056A8F"/>
    <w:rsid w:val="000575CC"/>
    <w:rsid w:val="00057733"/>
    <w:rsid w:val="0006385F"/>
    <w:rsid w:val="00065085"/>
    <w:rsid w:val="0006530A"/>
    <w:rsid w:val="0006538E"/>
    <w:rsid w:val="0006570C"/>
    <w:rsid w:val="00065BBC"/>
    <w:rsid w:val="00070572"/>
    <w:rsid w:val="000744F5"/>
    <w:rsid w:val="0007523F"/>
    <w:rsid w:val="000769C0"/>
    <w:rsid w:val="00077390"/>
    <w:rsid w:val="00077974"/>
    <w:rsid w:val="0008015D"/>
    <w:rsid w:val="00081FD0"/>
    <w:rsid w:val="00090ACB"/>
    <w:rsid w:val="000942E8"/>
    <w:rsid w:val="00094D39"/>
    <w:rsid w:val="000A1718"/>
    <w:rsid w:val="000A430B"/>
    <w:rsid w:val="000A57E8"/>
    <w:rsid w:val="000A7E39"/>
    <w:rsid w:val="000B1E53"/>
    <w:rsid w:val="000B2BE9"/>
    <w:rsid w:val="000B3394"/>
    <w:rsid w:val="000B6E45"/>
    <w:rsid w:val="000B73E6"/>
    <w:rsid w:val="000C4566"/>
    <w:rsid w:val="000C5529"/>
    <w:rsid w:val="000C5693"/>
    <w:rsid w:val="000C5D8E"/>
    <w:rsid w:val="000C6FE7"/>
    <w:rsid w:val="000C7B16"/>
    <w:rsid w:val="000D1009"/>
    <w:rsid w:val="000D2218"/>
    <w:rsid w:val="000D2D24"/>
    <w:rsid w:val="000D3F1B"/>
    <w:rsid w:val="000D405B"/>
    <w:rsid w:val="000E5BB1"/>
    <w:rsid w:val="000E7080"/>
    <w:rsid w:val="000E70A9"/>
    <w:rsid w:val="000F01F1"/>
    <w:rsid w:val="000F0F2E"/>
    <w:rsid w:val="000F192C"/>
    <w:rsid w:val="000F444A"/>
    <w:rsid w:val="000F5084"/>
    <w:rsid w:val="000F6B62"/>
    <w:rsid w:val="00100943"/>
    <w:rsid w:val="00100B3F"/>
    <w:rsid w:val="001012B3"/>
    <w:rsid w:val="0010221A"/>
    <w:rsid w:val="00102DB2"/>
    <w:rsid w:val="00103C9B"/>
    <w:rsid w:val="00105238"/>
    <w:rsid w:val="001055E5"/>
    <w:rsid w:val="00106447"/>
    <w:rsid w:val="00107089"/>
    <w:rsid w:val="00107E19"/>
    <w:rsid w:val="0011005F"/>
    <w:rsid w:val="00110A34"/>
    <w:rsid w:val="00110E35"/>
    <w:rsid w:val="00112924"/>
    <w:rsid w:val="00112A75"/>
    <w:rsid w:val="0011337B"/>
    <w:rsid w:val="001155B4"/>
    <w:rsid w:val="00117283"/>
    <w:rsid w:val="00120FD6"/>
    <w:rsid w:val="001210EB"/>
    <w:rsid w:val="00122227"/>
    <w:rsid w:val="00122618"/>
    <w:rsid w:val="00127284"/>
    <w:rsid w:val="00130875"/>
    <w:rsid w:val="00132039"/>
    <w:rsid w:val="00133921"/>
    <w:rsid w:val="00140223"/>
    <w:rsid w:val="00143A2D"/>
    <w:rsid w:val="00143CB3"/>
    <w:rsid w:val="00143E25"/>
    <w:rsid w:val="00145425"/>
    <w:rsid w:val="00147C6D"/>
    <w:rsid w:val="00151B1C"/>
    <w:rsid w:val="00151F6F"/>
    <w:rsid w:val="00154846"/>
    <w:rsid w:val="00154AA3"/>
    <w:rsid w:val="00157ECA"/>
    <w:rsid w:val="00162AF8"/>
    <w:rsid w:val="00162B66"/>
    <w:rsid w:val="0016472F"/>
    <w:rsid w:val="00165638"/>
    <w:rsid w:val="00167837"/>
    <w:rsid w:val="0017168D"/>
    <w:rsid w:val="001721BE"/>
    <w:rsid w:val="00172342"/>
    <w:rsid w:val="00172B38"/>
    <w:rsid w:val="00176182"/>
    <w:rsid w:val="00176EFD"/>
    <w:rsid w:val="00177C1B"/>
    <w:rsid w:val="00177FDF"/>
    <w:rsid w:val="001804F7"/>
    <w:rsid w:val="00181C05"/>
    <w:rsid w:val="00185B55"/>
    <w:rsid w:val="0018613F"/>
    <w:rsid w:val="00186EDD"/>
    <w:rsid w:val="001913FA"/>
    <w:rsid w:val="00191E17"/>
    <w:rsid w:val="001967A5"/>
    <w:rsid w:val="00196E99"/>
    <w:rsid w:val="0019741A"/>
    <w:rsid w:val="001A0649"/>
    <w:rsid w:val="001A4930"/>
    <w:rsid w:val="001A52F2"/>
    <w:rsid w:val="001A6123"/>
    <w:rsid w:val="001A64F0"/>
    <w:rsid w:val="001B01FD"/>
    <w:rsid w:val="001B0BD7"/>
    <w:rsid w:val="001B1360"/>
    <w:rsid w:val="001B1425"/>
    <w:rsid w:val="001B1CAA"/>
    <w:rsid w:val="001B343C"/>
    <w:rsid w:val="001B3AFF"/>
    <w:rsid w:val="001B5A20"/>
    <w:rsid w:val="001B6E60"/>
    <w:rsid w:val="001B744F"/>
    <w:rsid w:val="001C1C5D"/>
    <w:rsid w:val="001C2E72"/>
    <w:rsid w:val="001C353F"/>
    <w:rsid w:val="001C589E"/>
    <w:rsid w:val="001C6595"/>
    <w:rsid w:val="001D1488"/>
    <w:rsid w:val="001D1D7A"/>
    <w:rsid w:val="001D1F27"/>
    <w:rsid w:val="001D535C"/>
    <w:rsid w:val="001D76CF"/>
    <w:rsid w:val="001D7DC0"/>
    <w:rsid w:val="001E0AEC"/>
    <w:rsid w:val="001E0BB3"/>
    <w:rsid w:val="001E11BA"/>
    <w:rsid w:val="001E4FC3"/>
    <w:rsid w:val="001E61BC"/>
    <w:rsid w:val="001E72E6"/>
    <w:rsid w:val="001F184E"/>
    <w:rsid w:val="001F193B"/>
    <w:rsid w:val="001F2A2E"/>
    <w:rsid w:val="001F3F83"/>
    <w:rsid w:val="001F490C"/>
    <w:rsid w:val="001F5DCE"/>
    <w:rsid w:val="00206AB4"/>
    <w:rsid w:val="0021531E"/>
    <w:rsid w:val="002159B1"/>
    <w:rsid w:val="00215C8A"/>
    <w:rsid w:val="00216BEA"/>
    <w:rsid w:val="002233A8"/>
    <w:rsid w:val="00223A41"/>
    <w:rsid w:val="00225EBC"/>
    <w:rsid w:val="002267AC"/>
    <w:rsid w:val="00233A25"/>
    <w:rsid w:val="002343B5"/>
    <w:rsid w:val="00235471"/>
    <w:rsid w:val="00241A6D"/>
    <w:rsid w:val="0024289F"/>
    <w:rsid w:val="00243BDA"/>
    <w:rsid w:val="00244FA0"/>
    <w:rsid w:val="00245B50"/>
    <w:rsid w:val="002462B7"/>
    <w:rsid w:val="00251BB1"/>
    <w:rsid w:val="00251EE2"/>
    <w:rsid w:val="0025393B"/>
    <w:rsid w:val="00253CEF"/>
    <w:rsid w:val="002550C1"/>
    <w:rsid w:val="00255E6C"/>
    <w:rsid w:val="00262683"/>
    <w:rsid w:val="00264571"/>
    <w:rsid w:val="00264A45"/>
    <w:rsid w:val="00265639"/>
    <w:rsid w:val="002702C3"/>
    <w:rsid w:val="002705C4"/>
    <w:rsid w:val="00270FD4"/>
    <w:rsid w:val="00272D80"/>
    <w:rsid w:val="00276C7F"/>
    <w:rsid w:val="002772EA"/>
    <w:rsid w:val="00283438"/>
    <w:rsid w:val="00283A4A"/>
    <w:rsid w:val="002847BB"/>
    <w:rsid w:val="0028483F"/>
    <w:rsid w:val="00285C07"/>
    <w:rsid w:val="00295524"/>
    <w:rsid w:val="0029767C"/>
    <w:rsid w:val="002A0107"/>
    <w:rsid w:val="002A1F67"/>
    <w:rsid w:val="002A23C1"/>
    <w:rsid w:val="002A3F02"/>
    <w:rsid w:val="002A4B33"/>
    <w:rsid w:val="002A6433"/>
    <w:rsid w:val="002A697D"/>
    <w:rsid w:val="002B4542"/>
    <w:rsid w:val="002B46D9"/>
    <w:rsid w:val="002B4CDE"/>
    <w:rsid w:val="002B5D6D"/>
    <w:rsid w:val="002C089F"/>
    <w:rsid w:val="002C5234"/>
    <w:rsid w:val="002C71A3"/>
    <w:rsid w:val="002C7303"/>
    <w:rsid w:val="002C74CC"/>
    <w:rsid w:val="002D3773"/>
    <w:rsid w:val="002D39B0"/>
    <w:rsid w:val="002D7E00"/>
    <w:rsid w:val="002E1016"/>
    <w:rsid w:val="002E4201"/>
    <w:rsid w:val="002E444B"/>
    <w:rsid w:val="002E53F1"/>
    <w:rsid w:val="002F08BC"/>
    <w:rsid w:val="002F0EA1"/>
    <w:rsid w:val="002F33C0"/>
    <w:rsid w:val="002F5C3E"/>
    <w:rsid w:val="002F6111"/>
    <w:rsid w:val="002F63D7"/>
    <w:rsid w:val="002F6C0D"/>
    <w:rsid w:val="00301B47"/>
    <w:rsid w:val="00301B48"/>
    <w:rsid w:val="00301CB0"/>
    <w:rsid w:val="003023F2"/>
    <w:rsid w:val="00307766"/>
    <w:rsid w:val="0030786E"/>
    <w:rsid w:val="00314CDB"/>
    <w:rsid w:val="00314E6F"/>
    <w:rsid w:val="00316B28"/>
    <w:rsid w:val="00317A06"/>
    <w:rsid w:val="00317CC0"/>
    <w:rsid w:val="00321DA3"/>
    <w:rsid w:val="00324622"/>
    <w:rsid w:val="00324749"/>
    <w:rsid w:val="00326A06"/>
    <w:rsid w:val="003275C2"/>
    <w:rsid w:val="003305C7"/>
    <w:rsid w:val="0033370E"/>
    <w:rsid w:val="003356AF"/>
    <w:rsid w:val="003371EF"/>
    <w:rsid w:val="00340A69"/>
    <w:rsid w:val="003410A2"/>
    <w:rsid w:val="003435F0"/>
    <w:rsid w:val="003441C1"/>
    <w:rsid w:val="00344D0F"/>
    <w:rsid w:val="0035006F"/>
    <w:rsid w:val="003502B4"/>
    <w:rsid w:val="00350C2E"/>
    <w:rsid w:val="0035157B"/>
    <w:rsid w:val="00352B98"/>
    <w:rsid w:val="003546DA"/>
    <w:rsid w:val="003600F4"/>
    <w:rsid w:val="00362221"/>
    <w:rsid w:val="00363810"/>
    <w:rsid w:val="00363B54"/>
    <w:rsid w:val="0036444D"/>
    <w:rsid w:val="0037098D"/>
    <w:rsid w:val="00370FC3"/>
    <w:rsid w:val="003710C5"/>
    <w:rsid w:val="003710F4"/>
    <w:rsid w:val="00372384"/>
    <w:rsid w:val="00374052"/>
    <w:rsid w:val="00374975"/>
    <w:rsid w:val="00375B84"/>
    <w:rsid w:val="00376D20"/>
    <w:rsid w:val="003778C5"/>
    <w:rsid w:val="00380FC1"/>
    <w:rsid w:val="00383074"/>
    <w:rsid w:val="003842B8"/>
    <w:rsid w:val="0038447E"/>
    <w:rsid w:val="00385E1E"/>
    <w:rsid w:val="0038676E"/>
    <w:rsid w:val="00392453"/>
    <w:rsid w:val="00392C91"/>
    <w:rsid w:val="00393252"/>
    <w:rsid w:val="003952FE"/>
    <w:rsid w:val="00395CC2"/>
    <w:rsid w:val="003A24FF"/>
    <w:rsid w:val="003A430F"/>
    <w:rsid w:val="003A4F91"/>
    <w:rsid w:val="003A6B67"/>
    <w:rsid w:val="003A7FBC"/>
    <w:rsid w:val="003B09C6"/>
    <w:rsid w:val="003B0F0E"/>
    <w:rsid w:val="003B4A30"/>
    <w:rsid w:val="003B56EC"/>
    <w:rsid w:val="003B6C7D"/>
    <w:rsid w:val="003C02E8"/>
    <w:rsid w:val="003C0AFB"/>
    <w:rsid w:val="003C16AC"/>
    <w:rsid w:val="003C5B7A"/>
    <w:rsid w:val="003C722F"/>
    <w:rsid w:val="003C786B"/>
    <w:rsid w:val="003D0551"/>
    <w:rsid w:val="003D07DE"/>
    <w:rsid w:val="003D0B7A"/>
    <w:rsid w:val="003D1FFB"/>
    <w:rsid w:val="003D3D33"/>
    <w:rsid w:val="003D4353"/>
    <w:rsid w:val="003D7DA1"/>
    <w:rsid w:val="003E0086"/>
    <w:rsid w:val="003E023E"/>
    <w:rsid w:val="003E51C0"/>
    <w:rsid w:val="003E6A86"/>
    <w:rsid w:val="003E7774"/>
    <w:rsid w:val="003F01A6"/>
    <w:rsid w:val="003F11FD"/>
    <w:rsid w:val="003F2279"/>
    <w:rsid w:val="003F2E3D"/>
    <w:rsid w:val="00401D90"/>
    <w:rsid w:val="00403751"/>
    <w:rsid w:val="00404027"/>
    <w:rsid w:val="00410F45"/>
    <w:rsid w:val="0041323F"/>
    <w:rsid w:val="004160CF"/>
    <w:rsid w:val="00417A10"/>
    <w:rsid w:val="00420D04"/>
    <w:rsid w:val="00424734"/>
    <w:rsid w:val="004252EE"/>
    <w:rsid w:val="0042547D"/>
    <w:rsid w:val="00430A88"/>
    <w:rsid w:val="004351BE"/>
    <w:rsid w:val="004360A6"/>
    <w:rsid w:val="0043751F"/>
    <w:rsid w:val="00440012"/>
    <w:rsid w:val="00441DBC"/>
    <w:rsid w:val="004420C1"/>
    <w:rsid w:val="00446A88"/>
    <w:rsid w:val="00447E82"/>
    <w:rsid w:val="004508B2"/>
    <w:rsid w:val="00451F6B"/>
    <w:rsid w:val="00453B80"/>
    <w:rsid w:val="004542E6"/>
    <w:rsid w:val="00455AE0"/>
    <w:rsid w:val="00460344"/>
    <w:rsid w:val="00461078"/>
    <w:rsid w:val="004671C5"/>
    <w:rsid w:val="00470267"/>
    <w:rsid w:val="00474E5E"/>
    <w:rsid w:val="004767FF"/>
    <w:rsid w:val="004823ED"/>
    <w:rsid w:val="00483967"/>
    <w:rsid w:val="00485DC7"/>
    <w:rsid w:val="00492078"/>
    <w:rsid w:val="00493772"/>
    <w:rsid w:val="0049537E"/>
    <w:rsid w:val="004958E5"/>
    <w:rsid w:val="0049780B"/>
    <w:rsid w:val="004A1799"/>
    <w:rsid w:val="004A2A4B"/>
    <w:rsid w:val="004A3AD4"/>
    <w:rsid w:val="004A4E32"/>
    <w:rsid w:val="004A6E46"/>
    <w:rsid w:val="004B101A"/>
    <w:rsid w:val="004B15A6"/>
    <w:rsid w:val="004B1DA0"/>
    <w:rsid w:val="004B20F7"/>
    <w:rsid w:val="004B2DA7"/>
    <w:rsid w:val="004B5447"/>
    <w:rsid w:val="004B5486"/>
    <w:rsid w:val="004B6BD2"/>
    <w:rsid w:val="004B74A4"/>
    <w:rsid w:val="004B757A"/>
    <w:rsid w:val="004B7AAA"/>
    <w:rsid w:val="004C15AB"/>
    <w:rsid w:val="004C726A"/>
    <w:rsid w:val="004D04B7"/>
    <w:rsid w:val="004D179C"/>
    <w:rsid w:val="004D2D2F"/>
    <w:rsid w:val="004D5F8C"/>
    <w:rsid w:val="004D65B5"/>
    <w:rsid w:val="004E0649"/>
    <w:rsid w:val="004E1257"/>
    <w:rsid w:val="004E2654"/>
    <w:rsid w:val="004E2E6D"/>
    <w:rsid w:val="004E3509"/>
    <w:rsid w:val="004E57C1"/>
    <w:rsid w:val="004E5AB8"/>
    <w:rsid w:val="004E67D5"/>
    <w:rsid w:val="004F1441"/>
    <w:rsid w:val="004F2F10"/>
    <w:rsid w:val="004F7950"/>
    <w:rsid w:val="00501931"/>
    <w:rsid w:val="00502318"/>
    <w:rsid w:val="005051A4"/>
    <w:rsid w:val="00505430"/>
    <w:rsid w:val="00512DA2"/>
    <w:rsid w:val="005150AD"/>
    <w:rsid w:val="00515441"/>
    <w:rsid w:val="0051639C"/>
    <w:rsid w:val="0051698A"/>
    <w:rsid w:val="005203A0"/>
    <w:rsid w:val="005220A8"/>
    <w:rsid w:val="005221DB"/>
    <w:rsid w:val="00527E0C"/>
    <w:rsid w:val="00533FE6"/>
    <w:rsid w:val="005360DF"/>
    <w:rsid w:val="00536E8D"/>
    <w:rsid w:val="005414D6"/>
    <w:rsid w:val="00542802"/>
    <w:rsid w:val="00542DAF"/>
    <w:rsid w:val="00543135"/>
    <w:rsid w:val="0054319D"/>
    <w:rsid w:val="0054391D"/>
    <w:rsid w:val="00543C06"/>
    <w:rsid w:val="0054592E"/>
    <w:rsid w:val="00547D2E"/>
    <w:rsid w:val="00550170"/>
    <w:rsid w:val="0055436D"/>
    <w:rsid w:val="00554BFE"/>
    <w:rsid w:val="0055622F"/>
    <w:rsid w:val="00556787"/>
    <w:rsid w:val="00557251"/>
    <w:rsid w:val="005601AF"/>
    <w:rsid w:val="005609D3"/>
    <w:rsid w:val="00560F97"/>
    <w:rsid w:val="00564170"/>
    <w:rsid w:val="00565A86"/>
    <w:rsid w:val="0057106E"/>
    <w:rsid w:val="00572B96"/>
    <w:rsid w:val="00573B4C"/>
    <w:rsid w:val="0057505E"/>
    <w:rsid w:val="005773CF"/>
    <w:rsid w:val="00580784"/>
    <w:rsid w:val="00582588"/>
    <w:rsid w:val="0058290D"/>
    <w:rsid w:val="00582BD7"/>
    <w:rsid w:val="00583B52"/>
    <w:rsid w:val="005847A4"/>
    <w:rsid w:val="00585194"/>
    <w:rsid w:val="0058585C"/>
    <w:rsid w:val="00585B0C"/>
    <w:rsid w:val="00585CBB"/>
    <w:rsid w:val="00585EBD"/>
    <w:rsid w:val="0059078F"/>
    <w:rsid w:val="00590EA4"/>
    <w:rsid w:val="00592BC8"/>
    <w:rsid w:val="005940D9"/>
    <w:rsid w:val="00597D2F"/>
    <w:rsid w:val="005A2574"/>
    <w:rsid w:val="005A2C91"/>
    <w:rsid w:val="005A4058"/>
    <w:rsid w:val="005A5BBE"/>
    <w:rsid w:val="005A5C3F"/>
    <w:rsid w:val="005A701D"/>
    <w:rsid w:val="005A76D1"/>
    <w:rsid w:val="005A7B46"/>
    <w:rsid w:val="005B177B"/>
    <w:rsid w:val="005B318C"/>
    <w:rsid w:val="005B4E30"/>
    <w:rsid w:val="005B58D6"/>
    <w:rsid w:val="005B5A61"/>
    <w:rsid w:val="005B5BFA"/>
    <w:rsid w:val="005C1A58"/>
    <w:rsid w:val="005C2498"/>
    <w:rsid w:val="005C3C94"/>
    <w:rsid w:val="005C3F22"/>
    <w:rsid w:val="005C438D"/>
    <w:rsid w:val="005C5CBF"/>
    <w:rsid w:val="005C676F"/>
    <w:rsid w:val="005D00C6"/>
    <w:rsid w:val="005D0198"/>
    <w:rsid w:val="005D1643"/>
    <w:rsid w:val="005D5230"/>
    <w:rsid w:val="005D54A5"/>
    <w:rsid w:val="005D740A"/>
    <w:rsid w:val="005E2BED"/>
    <w:rsid w:val="005E36E4"/>
    <w:rsid w:val="005E423D"/>
    <w:rsid w:val="005E49A9"/>
    <w:rsid w:val="005E51B2"/>
    <w:rsid w:val="005E5D6D"/>
    <w:rsid w:val="005E7DA3"/>
    <w:rsid w:val="005F0659"/>
    <w:rsid w:val="005F4E66"/>
    <w:rsid w:val="0060036E"/>
    <w:rsid w:val="00600C2E"/>
    <w:rsid w:val="00602999"/>
    <w:rsid w:val="00603BE7"/>
    <w:rsid w:val="00603FDE"/>
    <w:rsid w:val="00604F76"/>
    <w:rsid w:val="00605BE7"/>
    <w:rsid w:val="00611BEF"/>
    <w:rsid w:val="00611D78"/>
    <w:rsid w:val="00612133"/>
    <w:rsid w:val="006125E6"/>
    <w:rsid w:val="006161D3"/>
    <w:rsid w:val="00617994"/>
    <w:rsid w:val="00620A6A"/>
    <w:rsid w:val="00622382"/>
    <w:rsid w:val="006229A1"/>
    <w:rsid w:val="00624AFB"/>
    <w:rsid w:val="0063060D"/>
    <w:rsid w:val="00630B36"/>
    <w:rsid w:val="00640D7D"/>
    <w:rsid w:val="0064259A"/>
    <w:rsid w:val="00644D21"/>
    <w:rsid w:val="0064553A"/>
    <w:rsid w:val="00646865"/>
    <w:rsid w:val="00646D1B"/>
    <w:rsid w:val="00647739"/>
    <w:rsid w:val="00647ACB"/>
    <w:rsid w:val="00647BA3"/>
    <w:rsid w:val="00650C16"/>
    <w:rsid w:val="00651FC0"/>
    <w:rsid w:val="00652A23"/>
    <w:rsid w:val="00653F3F"/>
    <w:rsid w:val="00654674"/>
    <w:rsid w:val="006553E6"/>
    <w:rsid w:val="006655DF"/>
    <w:rsid w:val="00666912"/>
    <w:rsid w:val="006678AA"/>
    <w:rsid w:val="00667C89"/>
    <w:rsid w:val="006701FD"/>
    <w:rsid w:val="0067467A"/>
    <w:rsid w:val="006747D9"/>
    <w:rsid w:val="00676071"/>
    <w:rsid w:val="00676871"/>
    <w:rsid w:val="006804C9"/>
    <w:rsid w:val="00682870"/>
    <w:rsid w:val="006840DA"/>
    <w:rsid w:val="00684EAD"/>
    <w:rsid w:val="0068701B"/>
    <w:rsid w:val="006872EC"/>
    <w:rsid w:val="00687F57"/>
    <w:rsid w:val="006904CE"/>
    <w:rsid w:val="006935A1"/>
    <w:rsid w:val="006937D3"/>
    <w:rsid w:val="006941B1"/>
    <w:rsid w:val="006A6962"/>
    <w:rsid w:val="006A7626"/>
    <w:rsid w:val="006B73F8"/>
    <w:rsid w:val="006B7BB8"/>
    <w:rsid w:val="006B7DA5"/>
    <w:rsid w:val="006C1510"/>
    <w:rsid w:val="006C258E"/>
    <w:rsid w:val="006C2BFB"/>
    <w:rsid w:val="006C2C72"/>
    <w:rsid w:val="006C5946"/>
    <w:rsid w:val="006C597F"/>
    <w:rsid w:val="006C6B04"/>
    <w:rsid w:val="006D11EE"/>
    <w:rsid w:val="006D5A9B"/>
    <w:rsid w:val="006D7B16"/>
    <w:rsid w:val="006E0103"/>
    <w:rsid w:val="006E04AA"/>
    <w:rsid w:val="006E1B03"/>
    <w:rsid w:val="006E2FA8"/>
    <w:rsid w:val="006E5095"/>
    <w:rsid w:val="006E7877"/>
    <w:rsid w:val="006F2319"/>
    <w:rsid w:val="006F25B6"/>
    <w:rsid w:val="006F69F7"/>
    <w:rsid w:val="006F7327"/>
    <w:rsid w:val="0070150B"/>
    <w:rsid w:val="00702729"/>
    <w:rsid w:val="007029C1"/>
    <w:rsid w:val="0070331E"/>
    <w:rsid w:val="007038BE"/>
    <w:rsid w:val="00703C53"/>
    <w:rsid w:val="00710396"/>
    <w:rsid w:val="00710DA5"/>
    <w:rsid w:val="00711BFB"/>
    <w:rsid w:val="00711E1B"/>
    <w:rsid w:val="00712CC7"/>
    <w:rsid w:val="00713F91"/>
    <w:rsid w:val="00713FCB"/>
    <w:rsid w:val="00716041"/>
    <w:rsid w:val="00716100"/>
    <w:rsid w:val="007166CE"/>
    <w:rsid w:val="007169DA"/>
    <w:rsid w:val="007169EF"/>
    <w:rsid w:val="00721201"/>
    <w:rsid w:val="00721B2B"/>
    <w:rsid w:val="00722A4A"/>
    <w:rsid w:val="00726662"/>
    <w:rsid w:val="007279F8"/>
    <w:rsid w:val="007307BE"/>
    <w:rsid w:val="0073095C"/>
    <w:rsid w:val="007317DA"/>
    <w:rsid w:val="00733668"/>
    <w:rsid w:val="00734E06"/>
    <w:rsid w:val="007429E8"/>
    <w:rsid w:val="00744E58"/>
    <w:rsid w:val="0075089E"/>
    <w:rsid w:val="00750B17"/>
    <w:rsid w:val="00750D8F"/>
    <w:rsid w:val="007520CB"/>
    <w:rsid w:val="00752F87"/>
    <w:rsid w:val="007531CE"/>
    <w:rsid w:val="00754187"/>
    <w:rsid w:val="0075424A"/>
    <w:rsid w:val="007557AF"/>
    <w:rsid w:val="00762096"/>
    <w:rsid w:val="007623ED"/>
    <w:rsid w:val="00763B88"/>
    <w:rsid w:val="00764BC7"/>
    <w:rsid w:val="00770AAE"/>
    <w:rsid w:val="00771860"/>
    <w:rsid w:val="00772013"/>
    <w:rsid w:val="00774EEB"/>
    <w:rsid w:val="007753BF"/>
    <w:rsid w:val="007763F9"/>
    <w:rsid w:val="00782D1D"/>
    <w:rsid w:val="00783653"/>
    <w:rsid w:val="00785C31"/>
    <w:rsid w:val="007901EE"/>
    <w:rsid w:val="00791FA6"/>
    <w:rsid w:val="00793200"/>
    <w:rsid w:val="007932D7"/>
    <w:rsid w:val="00794FDB"/>
    <w:rsid w:val="00795149"/>
    <w:rsid w:val="007951AD"/>
    <w:rsid w:val="00797F39"/>
    <w:rsid w:val="007A1B99"/>
    <w:rsid w:val="007A1C85"/>
    <w:rsid w:val="007A2C34"/>
    <w:rsid w:val="007A4A3D"/>
    <w:rsid w:val="007A7678"/>
    <w:rsid w:val="007A7D14"/>
    <w:rsid w:val="007B2E4E"/>
    <w:rsid w:val="007B716C"/>
    <w:rsid w:val="007B7734"/>
    <w:rsid w:val="007C057B"/>
    <w:rsid w:val="007C0712"/>
    <w:rsid w:val="007C4895"/>
    <w:rsid w:val="007D0A68"/>
    <w:rsid w:val="007D186D"/>
    <w:rsid w:val="007D40C1"/>
    <w:rsid w:val="007D4650"/>
    <w:rsid w:val="007D6B57"/>
    <w:rsid w:val="007D71B2"/>
    <w:rsid w:val="007E064F"/>
    <w:rsid w:val="007E1EDB"/>
    <w:rsid w:val="007E30D9"/>
    <w:rsid w:val="007E4160"/>
    <w:rsid w:val="007E6026"/>
    <w:rsid w:val="007E7728"/>
    <w:rsid w:val="007F1064"/>
    <w:rsid w:val="007F133A"/>
    <w:rsid w:val="007F1778"/>
    <w:rsid w:val="007F2B87"/>
    <w:rsid w:val="007F3049"/>
    <w:rsid w:val="007F4159"/>
    <w:rsid w:val="007F5633"/>
    <w:rsid w:val="007F642D"/>
    <w:rsid w:val="007F7DD4"/>
    <w:rsid w:val="008013BC"/>
    <w:rsid w:val="008013DD"/>
    <w:rsid w:val="00803CE3"/>
    <w:rsid w:val="00804273"/>
    <w:rsid w:val="00805389"/>
    <w:rsid w:val="00805A01"/>
    <w:rsid w:val="008076A4"/>
    <w:rsid w:val="00807B41"/>
    <w:rsid w:val="0081004C"/>
    <w:rsid w:val="00812237"/>
    <w:rsid w:val="00814A10"/>
    <w:rsid w:val="0081597B"/>
    <w:rsid w:val="00816B4A"/>
    <w:rsid w:val="008206E9"/>
    <w:rsid w:val="00820B55"/>
    <w:rsid w:val="008221CA"/>
    <w:rsid w:val="0082252D"/>
    <w:rsid w:val="008232A9"/>
    <w:rsid w:val="00825491"/>
    <w:rsid w:val="00827ADC"/>
    <w:rsid w:val="00830B01"/>
    <w:rsid w:val="00830EAA"/>
    <w:rsid w:val="0083264E"/>
    <w:rsid w:val="00836D00"/>
    <w:rsid w:val="008370F7"/>
    <w:rsid w:val="008411BF"/>
    <w:rsid w:val="00842086"/>
    <w:rsid w:val="00844222"/>
    <w:rsid w:val="00846D4F"/>
    <w:rsid w:val="0084750D"/>
    <w:rsid w:val="00850052"/>
    <w:rsid w:val="008518AD"/>
    <w:rsid w:val="00851CA3"/>
    <w:rsid w:val="008522CA"/>
    <w:rsid w:val="008537EF"/>
    <w:rsid w:val="00854C4E"/>
    <w:rsid w:val="00856E25"/>
    <w:rsid w:val="00857187"/>
    <w:rsid w:val="008625D2"/>
    <w:rsid w:val="00863020"/>
    <w:rsid w:val="0086376F"/>
    <w:rsid w:val="00867618"/>
    <w:rsid w:val="0086799F"/>
    <w:rsid w:val="00867AE6"/>
    <w:rsid w:val="00870711"/>
    <w:rsid w:val="00870968"/>
    <w:rsid w:val="008723A5"/>
    <w:rsid w:val="008748D6"/>
    <w:rsid w:val="008755DF"/>
    <w:rsid w:val="00877B4C"/>
    <w:rsid w:val="008807B5"/>
    <w:rsid w:val="00880CB0"/>
    <w:rsid w:val="0088130B"/>
    <w:rsid w:val="00885118"/>
    <w:rsid w:val="00887B13"/>
    <w:rsid w:val="00894353"/>
    <w:rsid w:val="008947C1"/>
    <w:rsid w:val="00897C49"/>
    <w:rsid w:val="008A0AE7"/>
    <w:rsid w:val="008A178F"/>
    <w:rsid w:val="008A4B96"/>
    <w:rsid w:val="008A6BA5"/>
    <w:rsid w:val="008A6CF2"/>
    <w:rsid w:val="008B12AB"/>
    <w:rsid w:val="008B33B5"/>
    <w:rsid w:val="008C0195"/>
    <w:rsid w:val="008C7508"/>
    <w:rsid w:val="008C7795"/>
    <w:rsid w:val="008C77BE"/>
    <w:rsid w:val="008D0218"/>
    <w:rsid w:val="008D11BE"/>
    <w:rsid w:val="008D2AFF"/>
    <w:rsid w:val="008D4647"/>
    <w:rsid w:val="008D49CC"/>
    <w:rsid w:val="008D4C0A"/>
    <w:rsid w:val="008D7829"/>
    <w:rsid w:val="008D7BA1"/>
    <w:rsid w:val="008E0BE4"/>
    <w:rsid w:val="008E15EA"/>
    <w:rsid w:val="008E16B7"/>
    <w:rsid w:val="008E4779"/>
    <w:rsid w:val="008F2DDD"/>
    <w:rsid w:val="008F312E"/>
    <w:rsid w:val="008F4BF5"/>
    <w:rsid w:val="008F579F"/>
    <w:rsid w:val="008F751C"/>
    <w:rsid w:val="00901277"/>
    <w:rsid w:val="009015DD"/>
    <w:rsid w:val="00901B59"/>
    <w:rsid w:val="00903DD8"/>
    <w:rsid w:val="0090448A"/>
    <w:rsid w:val="00904F01"/>
    <w:rsid w:val="00904F6A"/>
    <w:rsid w:val="009061CD"/>
    <w:rsid w:val="00906C54"/>
    <w:rsid w:val="00911D44"/>
    <w:rsid w:val="009136E7"/>
    <w:rsid w:val="00915E1E"/>
    <w:rsid w:val="00921209"/>
    <w:rsid w:val="0092127F"/>
    <w:rsid w:val="00924F35"/>
    <w:rsid w:val="00925CEF"/>
    <w:rsid w:val="00925ED7"/>
    <w:rsid w:val="009334F4"/>
    <w:rsid w:val="009353CA"/>
    <w:rsid w:val="0093625A"/>
    <w:rsid w:val="0093778C"/>
    <w:rsid w:val="0094087B"/>
    <w:rsid w:val="00945AFE"/>
    <w:rsid w:val="00947489"/>
    <w:rsid w:val="00947493"/>
    <w:rsid w:val="00947C5D"/>
    <w:rsid w:val="00950124"/>
    <w:rsid w:val="009508A9"/>
    <w:rsid w:val="009513E0"/>
    <w:rsid w:val="00951950"/>
    <w:rsid w:val="00951AD7"/>
    <w:rsid w:val="0095361F"/>
    <w:rsid w:val="00953CD6"/>
    <w:rsid w:val="00954CC1"/>
    <w:rsid w:val="00955AD6"/>
    <w:rsid w:val="009560B7"/>
    <w:rsid w:val="0095627C"/>
    <w:rsid w:val="00956B81"/>
    <w:rsid w:val="00960906"/>
    <w:rsid w:val="00960C43"/>
    <w:rsid w:val="0096283D"/>
    <w:rsid w:val="00963DD6"/>
    <w:rsid w:val="009659FB"/>
    <w:rsid w:val="00966B04"/>
    <w:rsid w:val="00966BB1"/>
    <w:rsid w:val="00967795"/>
    <w:rsid w:val="00967E53"/>
    <w:rsid w:val="00973A50"/>
    <w:rsid w:val="00974022"/>
    <w:rsid w:val="00974048"/>
    <w:rsid w:val="00974624"/>
    <w:rsid w:val="009773A5"/>
    <w:rsid w:val="00985FC9"/>
    <w:rsid w:val="00986DEB"/>
    <w:rsid w:val="009878E2"/>
    <w:rsid w:val="009923C1"/>
    <w:rsid w:val="00992C8D"/>
    <w:rsid w:val="00993F6A"/>
    <w:rsid w:val="00995EE5"/>
    <w:rsid w:val="009966BE"/>
    <w:rsid w:val="0099701E"/>
    <w:rsid w:val="00997CDD"/>
    <w:rsid w:val="009A03A5"/>
    <w:rsid w:val="009A0A89"/>
    <w:rsid w:val="009A354D"/>
    <w:rsid w:val="009A38DE"/>
    <w:rsid w:val="009A3995"/>
    <w:rsid w:val="009A3A0E"/>
    <w:rsid w:val="009A4B44"/>
    <w:rsid w:val="009A6978"/>
    <w:rsid w:val="009A762C"/>
    <w:rsid w:val="009A797A"/>
    <w:rsid w:val="009A7CFC"/>
    <w:rsid w:val="009B25EB"/>
    <w:rsid w:val="009C0F2F"/>
    <w:rsid w:val="009C1ECF"/>
    <w:rsid w:val="009C2333"/>
    <w:rsid w:val="009C4FFD"/>
    <w:rsid w:val="009C5B9C"/>
    <w:rsid w:val="009D018C"/>
    <w:rsid w:val="009D0B04"/>
    <w:rsid w:val="009D2E4B"/>
    <w:rsid w:val="009D37A0"/>
    <w:rsid w:val="009D4700"/>
    <w:rsid w:val="009D685E"/>
    <w:rsid w:val="009D70A3"/>
    <w:rsid w:val="009D71FD"/>
    <w:rsid w:val="009E3A82"/>
    <w:rsid w:val="009E3BED"/>
    <w:rsid w:val="009E6091"/>
    <w:rsid w:val="009E6189"/>
    <w:rsid w:val="009F2D0D"/>
    <w:rsid w:val="009F4BD4"/>
    <w:rsid w:val="009F53E6"/>
    <w:rsid w:val="009F56C7"/>
    <w:rsid w:val="009F5C01"/>
    <w:rsid w:val="009F6254"/>
    <w:rsid w:val="009F6389"/>
    <w:rsid w:val="009F6D98"/>
    <w:rsid w:val="00A006AF"/>
    <w:rsid w:val="00A048DD"/>
    <w:rsid w:val="00A058A9"/>
    <w:rsid w:val="00A10452"/>
    <w:rsid w:val="00A11BF6"/>
    <w:rsid w:val="00A13D7F"/>
    <w:rsid w:val="00A20956"/>
    <w:rsid w:val="00A20A57"/>
    <w:rsid w:val="00A2276F"/>
    <w:rsid w:val="00A24F14"/>
    <w:rsid w:val="00A25E06"/>
    <w:rsid w:val="00A2690F"/>
    <w:rsid w:val="00A27AB7"/>
    <w:rsid w:val="00A27FAF"/>
    <w:rsid w:val="00A3228A"/>
    <w:rsid w:val="00A3386E"/>
    <w:rsid w:val="00A36F24"/>
    <w:rsid w:val="00A409FA"/>
    <w:rsid w:val="00A41DB0"/>
    <w:rsid w:val="00A43D0E"/>
    <w:rsid w:val="00A4444B"/>
    <w:rsid w:val="00A44889"/>
    <w:rsid w:val="00A46971"/>
    <w:rsid w:val="00A474E2"/>
    <w:rsid w:val="00A51247"/>
    <w:rsid w:val="00A5423F"/>
    <w:rsid w:val="00A54DBE"/>
    <w:rsid w:val="00A6573E"/>
    <w:rsid w:val="00A66B2C"/>
    <w:rsid w:val="00A70920"/>
    <w:rsid w:val="00A7190B"/>
    <w:rsid w:val="00A72241"/>
    <w:rsid w:val="00A76478"/>
    <w:rsid w:val="00A76B85"/>
    <w:rsid w:val="00A776E3"/>
    <w:rsid w:val="00A777B0"/>
    <w:rsid w:val="00A778FE"/>
    <w:rsid w:val="00A810B9"/>
    <w:rsid w:val="00A83743"/>
    <w:rsid w:val="00A83E8C"/>
    <w:rsid w:val="00A858D4"/>
    <w:rsid w:val="00A87361"/>
    <w:rsid w:val="00A902C2"/>
    <w:rsid w:val="00A906AB"/>
    <w:rsid w:val="00A93877"/>
    <w:rsid w:val="00A944E8"/>
    <w:rsid w:val="00A95022"/>
    <w:rsid w:val="00A95B32"/>
    <w:rsid w:val="00AA0D41"/>
    <w:rsid w:val="00AA1605"/>
    <w:rsid w:val="00AA5171"/>
    <w:rsid w:val="00AB4ABB"/>
    <w:rsid w:val="00AB4AF6"/>
    <w:rsid w:val="00AB500E"/>
    <w:rsid w:val="00AB6FD6"/>
    <w:rsid w:val="00AB7173"/>
    <w:rsid w:val="00AC3098"/>
    <w:rsid w:val="00AC6495"/>
    <w:rsid w:val="00AD0777"/>
    <w:rsid w:val="00AD10EE"/>
    <w:rsid w:val="00AD5FFF"/>
    <w:rsid w:val="00AD7063"/>
    <w:rsid w:val="00AE4415"/>
    <w:rsid w:val="00AE6D7D"/>
    <w:rsid w:val="00AE7E9A"/>
    <w:rsid w:val="00AF0639"/>
    <w:rsid w:val="00AF0FAE"/>
    <w:rsid w:val="00AF1C0E"/>
    <w:rsid w:val="00AF331F"/>
    <w:rsid w:val="00AF36CF"/>
    <w:rsid w:val="00AF5C5F"/>
    <w:rsid w:val="00B01C5C"/>
    <w:rsid w:val="00B01EA5"/>
    <w:rsid w:val="00B02464"/>
    <w:rsid w:val="00B028B0"/>
    <w:rsid w:val="00B05D5A"/>
    <w:rsid w:val="00B10AA1"/>
    <w:rsid w:val="00B12A8F"/>
    <w:rsid w:val="00B231E1"/>
    <w:rsid w:val="00B238C1"/>
    <w:rsid w:val="00B23FE5"/>
    <w:rsid w:val="00B26517"/>
    <w:rsid w:val="00B343BE"/>
    <w:rsid w:val="00B34C96"/>
    <w:rsid w:val="00B35AE6"/>
    <w:rsid w:val="00B43A32"/>
    <w:rsid w:val="00B4463D"/>
    <w:rsid w:val="00B45447"/>
    <w:rsid w:val="00B47DF5"/>
    <w:rsid w:val="00B50E48"/>
    <w:rsid w:val="00B52BF6"/>
    <w:rsid w:val="00B550D2"/>
    <w:rsid w:val="00B5669D"/>
    <w:rsid w:val="00B56B47"/>
    <w:rsid w:val="00B62713"/>
    <w:rsid w:val="00B64A51"/>
    <w:rsid w:val="00B660FD"/>
    <w:rsid w:val="00B66B2D"/>
    <w:rsid w:val="00B71045"/>
    <w:rsid w:val="00B7164D"/>
    <w:rsid w:val="00B73A41"/>
    <w:rsid w:val="00B75728"/>
    <w:rsid w:val="00B75D4D"/>
    <w:rsid w:val="00B77AB0"/>
    <w:rsid w:val="00B836C1"/>
    <w:rsid w:val="00B878C0"/>
    <w:rsid w:val="00B87F4B"/>
    <w:rsid w:val="00B90826"/>
    <w:rsid w:val="00B90F25"/>
    <w:rsid w:val="00B91E2D"/>
    <w:rsid w:val="00B9219B"/>
    <w:rsid w:val="00B9315C"/>
    <w:rsid w:val="00B94EDB"/>
    <w:rsid w:val="00BA0102"/>
    <w:rsid w:val="00BA190A"/>
    <w:rsid w:val="00BA6EA2"/>
    <w:rsid w:val="00BA7F4C"/>
    <w:rsid w:val="00BB1890"/>
    <w:rsid w:val="00BB2696"/>
    <w:rsid w:val="00BB3E32"/>
    <w:rsid w:val="00BB52CA"/>
    <w:rsid w:val="00BB5E8A"/>
    <w:rsid w:val="00BC0111"/>
    <w:rsid w:val="00BC1C6D"/>
    <w:rsid w:val="00BC27DD"/>
    <w:rsid w:val="00BC2B4E"/>
    <w:rsid w:val="00BC3B56"/>
    <w:rsid w:val="00BC5799"/>
    <w:rsid w:val="00BC60AB"/>
    <w:rsid w:val="00BD067D"/>
    <w:rsid w:val="00BD0A20"/>
    <w:rsid w:val="00BD0A96"/>
    <w:rsid w:val="00BD31E0"/>
    <w:rsid w:val="00BD5236"/>
    <w:rsid w:val="00BD636F"/>
    <w:rsid w:val="00BD640C"/>
    <w:rsid w:val="00BD7225"/>
    <w:rsid w:val="00BD7C8A"/>
    <w:rsid w:val="00BF0450"/>
    <w:rsid w:val="00BF2A39"/>
    <w:rsid w:val="00BF4119"/>
    <w:rsid w:val="00BF65E0"/>
    <w:rsid w:val="00BF6605"/>
    <w:rsid w:val="00BF69DE"/>
    <w:rsid w:val="00C0226C"/>
    <w:rsid w:val="00C035DE"/>
    <w:rsid w:val="00C05C37"/>
    <w:rsid w:val="00C072D6"/>
    <w:rsid w:val="00C079CE"/>
    <w:rsid w:val="00C10B48"/>
    <w:rsid w:val="00C208D2"/>
    <w:rsid w:val="00C26DC0"/>
    <w:rsid w:val="00C27021"/>
    <w:rsid w:val="00C27D5E"/>
    <w:rsid w:val="00C27FD7"/>
    <w:rsid w:val="00C3081C"/>
    <w:rsid w:val="00C33724"/>
    <w:rsid w:val="00C33BD2"/>
    <w:rsid w:val="00C4085E"/>
    <w:rsid w:val="00C41467"/>
    <w:rsid w:val="00C41F05"/>
    <w:rsid w:val="00C433CA"/>
    <w:rsid w:val="00C44E7A"/>
    <w:rsid w:val="00C4516D"/>
    <w:rsid w:val="00C45E5D"/>
    <w:rsid w:val="00C46627"/>
    <w:rsid w:val="00C479A8"/>
    <w:rsid w:val="00C522E3"/>
    <w:rsid w:val="00C5512F"/>
    <w:rsid w:val="00C55AAE"/>
    <w:rsid w:val="00C56D42"/>
    <w:rsid w:val="00C57E10"/>
    <w:rsid w:val="00C61522"/>
    <w:rsid w:val="00C625AC"/>
    <w:rsid w:val="00C63335"/>
    <w:rsid w:val="00C642A3"/>
    <w:rsid w:val="00C64356"/>
    <w:rsid w:val="00C71FF0"/>
    <w:rsid w:val="00C72318"/>
    <w:rsid w:val="00C743DB"/>
    <w:rsid w:val="00C74AA9"/>
    <w:rsid w:val="00C75966"/>
    <w:rsid w:val="00C768FF"/>
    <w:rsid w:val="00C82735"/>
    <w:rsid w:val="00C846EF"/>
    <w:rsid w:val="00C85F87"/>
    <w:rsid w:val="00C91D67"/>
    <w:rsid w:val="00C91E5E"/>
    <w:rsid w:val="00C93304"/>
    <w:rsid w:val="00C93FCA"/>
    <w:rsid w:val="00C9568C"/>
    <w:rsid w:val="00C96483"/>
    <w:rsid w:val="00C967F5"/>
    <w:rsid w:val="00C96BA5"/>
    <w:rsid w:val="00CA03F3"/>
    <w:rsid w:val="00CA1290"/>
    <w:rsid w:val="00CA49F5"/>
    <w:rsid w:val="00CA4D93"/>
    <w:rsid w:val="00CA61BD"/>
    <w:rsid w:val="00CA7B16"/>
    <w:rsid w:val="00CB03C4"/>
    <w:rsid w:val="00CB54B6"/>
    <w:rsid w:val="00CC0496"/>
    <w:rsid w:val="00CC3799"/>
    <w:rsid w:val="00CC4D2D"/>
    <w:rsid w:val="00CC6258"/>
    <w:rsid w:val="00CD519B"/>
    <w:rsid w:val="00CE3D66"/>
    <w:rsid w:val="00CE4D14"/>
    <w:rsid w:val="00CE5F02"/>
    <w:rsid w:val="00CE7886"/>
    <w:rsid w:val="00CF1135"/>
    <w:rsid w:val="00CF43E5"/>
    <w:rsid w:val="00CF4AC4"/>
    <w:rsid w:val="00D00877"/>
    <w:rsid w:val="00D020D4"/>
    <w:rsid w:val="00D04515"/>
    <w:rsid w:val="00D07016"/>
    <w:rsid w:val="00D1058E"/>
    <w:rsid w:val="00D1080A"/>
    <w:rsid w:val="00D10B0E"/>
    <w:rsid w:val="00D11426"/>
    <w:rsid w:val="00D12191"/>
    <w:rsid w:val="00D131D8"/>
    <w:rsid w:val="00D167BA"/>
    <w:rsid w:val="00D220AA"/>
    <w:rsid w:val="00D24A86"/>
    <w:rsid w:val="00D2503A"/>
    <w:rsid w:val="00D2503C"/>
    <w:rsid w:val="00D25CE4"/>
    <w:rsid w:val="00D270DA"/>
    <w:rsid w:val="00D275AF"/>
    <w:rsid w:val="00D30377"/>
    <w:rsid w:val="00D308C7"/>
    <w:rsid w:val="00D322E0"/>
    <w:rsid w:val="00D32C6C"/>
    <w:rsid w:val="00D3366F"/>
    <w:rsid w:val="00D37CFE"/>
    <w:rsid w:val="00D432D9"/>
    <w:rsid w:val="00D46916"/>
    <w:rsid w:val="00D51428"/>
    <w:rsid w:val="00D52125"/>
    <w:rsid w:val="00D53B99"/>
    <w:rsid w:val="00D558B8"/>
    <w:rsid w:val="00D55EB9"/>
    <w:rsid w:val="00D55FC4"/>
    <w:rsid w:val="00D56E7E"/>
    <w:rsid w:val="00D61F89"/>
    <w:rsid w:val="00D624AD"/>
    <w:rsid w:val="00D6499A"/>
    <w:rsid w:val="00D65351"/>
    <w:rsid w:val="00D67B0F"/>
    <w:rsid w:val="00D70C7F"/>
    <w:rsid w:val="00D720AD"/>
    <w:rsid w:val="00D761BB"/>
    <w:rsid w:val="00D80119"/>
    <w:rsid w:val="00D828D7"/>
    <w:rsid w:val="00D82B8E"/>
    <w:rsid w:val="00D841E4"/>
    <w:rsid w:val="00D932E9"/>
    <w:rsid w:val="00D95BE3"/>
    <w:rsid w:val="00D95F8B"/>
    <w:rsid w:val="00D96086"/>
    <w:rsid w:val="00D960BC"/>
    <w:rsid w:val="00D9636F"/>
    <w:rsid w:val="00DA1D8F"/>
    <w:rsid w:val="00DA2B75"/>
    <w:rsid w:val="00DA429E"/>
    <w:rsid w:val="00DA571A"/>
    <w:rsid w:val="00DA58B5"/>
    <w:rsid w:val="00DA6252"/>
    <w:rsid w:val="00DA7D33"/>
    <w:rsid w:val="00DB1A7E"/>
    <w:rsid w:val="00DB674B"/>
    <w:rsid w:val="00DC04DA"/>
    <w:rsid w:val="00DC0D4E"/>
    <w:rsid w:val="00DC1520"/>
    <w:rsid w:val="00DC2293"/>
    <w:rsid w:val="00DC5C96"/>
    <w:rsid w:val="00DC6C9D"/>
    <w:rsid w:val="00DC7444"/>
    <w:rsid w:val="00DD2CD3"/>
    <w:rsid w:val="00DD673A"/>
    <w:rsid w:val="00DE2AAE"/>
    <w:rsid w:val="00DE35A0"/>
    <w:rsid w:val="00DE363B"/>
    <w:rsid w:val="00DE50F3"/>
    <w:rsid w:val="00DE5A03"/>
    <w:rsid w:val="00DE5A7B"/>
    <w:rsid w:val="00DE6F3F"/>
    <w:rsid w:val="00DE6F95"/>
    <w:rsid w:val="00DE784E"/>
    <w:rsid w:val="00DE7FEA"/>
    <w:rsid w:val="00DF0AD1"/>
    <w:rsid w:val="00DF1554"/>
    <w:rsid w:val="00DF3943"/>
    <w:rsid w:val="00DF3CA6"/>
    <w:rsid w:val="00DF5908"/>
    <w:rsid w:val="00DF6FC9"/>
    <w:rsid w:val="00DF71BE"/>
    <w:rsid w:val="00E00324"/>
    <w:rsid w:val="00E01030"/>
    <w:rsid w:val="00E01053"/>
    <w:rsid w:val="00E034C6"/>
    <w:rsid w:val="00E04B08"/>
    <w:rsid w:val="00E0640E"/>
    <w:rsid w:val="00E06552"/>
    <w:rsid w:val="00E068D3"/>
    <w:rsid w:val="00E11EC9"/>
    <w:rsid w:val="00E1224F"/>
    <w:rsid w:val="00E124B0"/>
    <w:rsid w:val="00E12D8B"/>
    <w:rsid w:val="00E1486A"/>
    <w:rsid w:val="00E15810"/>
    <w:rsid w:val="00E1666F"/>
    <w:rsid w:val="00E16B31"/>
    <w:rsid w:val="00E223D4"/>
    <w:rsid w:val="00E236E3"/>
    <w:rsid w:val="00E23857"/>
    <w:rsid w:val="00E23F1C"/>
    <w:rsid w:val="00E265D4"/>
    <w:rsid w:val="00E27AE2"/>
    <w:rsid w:val="00E316C9"/>
    <w:rsid w:val="00E325A4"/>
    <w:rsid w:val="00E3263C"/>
    <w:rsid w:val="00E32B73"/>
    <w:rsid w:val="00E3323B"/>
    <w:rsid w:val="00E35795"/>
    <w:rsid w:val="00E360C9"/>
    <w:rsid w:val="00E363D8"/>
    <w:rsid w:val="00E375D2"/>
    <w:rsid w:val="00E4086A"/>
    <w:rsid w:val="00E44C28"/>
    <w:rsid w:val="00E467A7"/>
    <w:rsid w:val="00E538F7"/>
    <w:rsid w:val="00E53A12"/>
    <w:rsid w:val="00E54AF7"/>
    <w:rsid w:val="00E56070"/>
    <w:rsid w:val="00E603FE"/>
    <w:rsid w:val="00E6394B"/>
    <w:rsid w:val="00E63B2C"/>
    <w:rsid w:val="00E64C3C"/>
    <w:rsid w:val="00E64D68"/>
    <w:rsid w:val="00E65605"/>
    <w:rsid w:val="00E70590"/>
    <w:rsid w:val="00E70626"/>
    <w:rsid w:val="00E725E6"/>
    <w:rsid w:val="00E74857"/>
    <w:rsid w:val="00E8315B"/>
    <w:rsid w:val="00E84BDA"/>
    <w:rsid w:val="00E87C51"/>
    <w:rsid w:val="00E9044B"/>
    <w:rsid w:val="00E90AA8"/>
    <w:rsid w:val="00E90DBB"/>
    <w:rsid w:val="00E91D6A"/>
    <w:rsid w:val="00E96184"/>
    <w:rsid w:val="00E974B8"/>
    <w:rsid w:val="00EA2B61"/>
    <w:rsid w:val="00EA3A95"/>
    <w:rsid w:val="00EB0675"/>
    <w:rsid w:val="00EB1557"/>
    <w:rsid w:val="00EB2BB9"/>
    <w:rsid w:val="00EB7F6B"/>
    <w:rsid w:val="00EC1BF9"/>
    <w:rsid w:val="00EC28F1"/>
    <w:rsid w:val="00EC4409"/>
    <w:rsid w:val="00EC5639"/>
    <w:rsid w:val="00EC70E9"/>
    <w:rsid w:val="00ED10D9"/>
    <w:rsid w:val="00ED365A"/>
    <w:rsid w:val="00ED6587"/>
    <w:rsid w:val="00ED77AF"/>
    <w:rsid w:val="00ED7A5D"/>
    <w:rsid w:val="00EE0FDD"/>
    <w:rsid w:val="00EE2408"/>
    <w:rsid w:val="00EE4514"/>
    <w:rsid w:val="00EE5136"/>
    <w:rsid w:val="00EF05FD"/>
    <w:rsid w:val="00EF4A71"/>
    <w:rsid w:val="00EF7457"/>
    <w:rsid w:val="00EF7544"/>
    <w:rsid w:val="00EF7CE4"/>
    <w:rsid w:val="00F01458"/>
    <w:rsid w:val="00F01A7B"/>
    <w:rsid w:val="00F067B9"/>
    <w:rsid w:val="00F074A6"/>
    <w:rsid w:val="00F076D1"/>
    <w:rsid w:val="00F10284"/>
    <w:rsid w:val="00F107ED"/>
    <w:rsid w:val="00F11163"/>
    <w:rsid w:val="00F14834"/>
    <w:rsid w:val="00F165BE"/>
    <w:rsid w:val="00F173EF"/>
    <w:rsid w:val="00F17518"/>
    <w:rsid w:val="00F17FC4"/>
    <w:rsid w:val="00F206A6"/>
    <w:rsid w:val="00F22925"/>
    <w:rsid w:val="00F24A12"/>
    <w:rsid w:val="00F31213"/>
    <w:rsid w:val="00F35E27"/>
    <w:rsid w:val="00F36452"/>
    <w:rsid w:val="00F37171"/>
    <w:rsid w:val="00F405CB"/>
    <w:rsid w:val="00F40A90"/>
    <w:rsid w:val="00F42DE7"/>
    <w:rsid w:val="00F433D0"/>
    <w:rsid w:val="00F436D3"/>
    <w:rsid w:val="00F44208"/>
    <w:rsid w:val="00F4439E"/>
    <w:rsid w:val="00F45E14"/>
    <w:rsid w:val="00F4680B"/>
    <w:rsid w:val="00F46DD2"/>
    <w:rsid w:val="00F47069"/>
    <w:rsid w:val="00F50E28"/>
    <w:rsid w:val="00F534BB"/>
    <w:rsid w:val="00F5468E"/>
    <w:rsid w:val="00F54E42"/>
    <w:rsid w:val="00F56FEA"/>
    <w:rsid w:val="00F57704"/>
    <w:rsid w:val="00F60920"/>
    <w:rsid w:val="00F60CE5"/>
    <w:rsid w:val="00F61B51"/>
    <w:rsid w:val="00F61D07"/>
    <w:rsid w:val="00F65929"/>
    <w:rsid w:val="00F65CEA"/>
    <w:rsid w:val="00F67071"/>
    <w:rsid w:val="00F67A5A"/>
    <w:rsid w:val="00F71208"/>
    <w:rsid w:val="00F7394F"/>
    <w:rsid w:val="00F76532"/>
    <w:rsid w:val="00F77C48"/>
    <w:rsid w:val="00F8114C"/>
    <w:rsid w:val="00F82D48"/>
    <w:rsid w:val="00F8787F"/>
    <w:rsid w:val="00F87B50"/>
    <w:rsid w:val="00F87F0B"/>
    <w:rsid w:val="00F92AFE"/>
    <w:rsid w:val="00F96016"/>
    <w:rsid w:val="00F96E81"/>
    <w:rsid w:val="00FA17D4"/>
    <w:rsid w:val="00FA1CD0"/>
    <w:rsid w:val="00FA1D56"/>
    <w:rsid w:val="00FA45FE"/>
    <w:rsid w:val="00FA5AD5"/>
    <w:rsid w:val="00FA66FD"/>
    <w:rsid w:val="00FB0FF3"/>
    <w:rsid w:val="00FB20CC"/>
    <w:rsid w:val="00FB234E"/>
    <w:rsid w:val="00FB3605"/>
    <w:rsid w:val="00FB3792"/>
    <w:rsid w:val="00FB38C8"/>
    <w:rsid w:val="00FB6695"/>
    <w:rsid w:val="00FB7647"/>
    <w:rsid w:val="00FC2653"/>
    <w:rsid w:val="00FC6C05"/>
    <w:rsid w:val="00FD0C97"/>
    <w:rsid w:val="00FD1A05"/>
    <w:rsid w:val="00FD5F71"/>
    <w:rsid w:val="00FD6E7D"/>
    <w:rsid w:val="00FD7B23"/>
    <w:rsid w:val="00FE01DF"/>
    <w:rsid w:val="00FE0237"/>
    <w:rsid w:val="00FE2FBD"/>
    <w:rsid w:val="00FE4535"/>
    <w:rsid w:val="00FE4C78"/>
    <w:rsid w:val="00FE4FD9"/>
    <w:rsid w:val="00FF04BF"/>
    <w:rsid w:val="00FF1949"/>
    <w:rsid w:val="00FF21A7"/>
    <w:rsid w:val="00FF2E5F"/>
    <w:rsid w:val="00FF30D4"/>
    <w:rsid w:val="00FF3920"/>
    <w:rsid w:val="00FF3CA6"/>
    <w:rsid w:val="00FF4B75"/>
    <w:rsid w:val="00FF4C61"/>
    <w:rsid w:val="00FF681A"/>
    <w:rsid w:val="00FF7370"/>
    <w:rsid w:val="013ED40E"/>
    <w:rsid w:val="0287D36D"/>
    <w:rsid w:val="029B3F40"/>
    <w:rsid w:val="02CAA0D4"/>
    <w:rsid w:val="043228AB"/>
    <w:rsid w:val="0474CC52"/>
    <w:rsid w:val="04CD01E9"/>
    <w:rsid w:val="05E3F976"/>
    <w:rsid w:val="05E6F8AA"/>
    <w:rsid w:val="06B60FD3"/>
    <w:rsid w:val="0813E544"/>
    <w:rsid w:val="090BAA96"/>
    <w:rsid w:val="0A603BF8"/>
    <w:rsid w:val="0AF75B95"/>
    <w:rsid w:val="0B2B2F4E"/>
    <w:rsid w:val="0C2DA722"/>
    <w:rsid w:val="0EC3E3B9"/>
    <w:rsid w:val="10D3990A"/>
    <w:rsid w:val="12A337DA"/>
    <w:rsid w:val="12CF7DD5"/>
    <w:rsid w:val="13340C12"/>
    <w:rsid w:val="13679F6B"/>
    <w:rsid w:val="143B3EFD"/>
    <w:rsid w:val="144A1900"/>
    <w:rsid w:val="15DD54E3"/>
    <w:rsid w:val="160E633E"/>
    <w:rsid w:val="1627BC16"/>
    <w:rsid w:val="168EC40C"/>
    <w:rsid w:val="178480BF"/>
    <w:rsid w:val="17C7A97C"/>
    <w:rsid w:val="17EF21FB"/>
    <w:rsid w:val="193D4BD1"/>
    <w:rsid w:val="1AB0AF64"/>
    <w:rsid w:val="1BB1800B"/>
    <w:rsid w:val="1D0174AD"/>
    <w:rsid w:val="1E433F84"/>
    <w:rsid w:val="1FDEE296"/>
    <w:rsid w:val="201DD1C0"/>
    <w:rsid w:val="214DB079"/>
    <w:rsid w:val="2166C3A1"/>
    <w:rsid w:val="2405E013"/>
    <w:rsid w:val="25DFF460"/>
    <w:rsid w:val="267A012F"/>
    <w:rsid w:val="27B09437"/>
    <w:rsid w:val="293B0775"/>
    <w:rsid w:val="2A0DE72F"/>
    <w:rsid w:val="2AAA1737"/>
    <w:rsid w:val="2AF72821"/>
    <w:rsid w:val="2BA2D0F5"/>
    <w:rsid w:val="2C0AD66D"/>
    <w:rsid w:val="2C45E798"/>
    <w:rsid w:val="2D4AE5E8"/>
    <w:rsid w:val="2D6E1649"/>
    <w:rsid w:val="2DF5C11E"/>
    <w:rsid w:val="2FB4A917"/>
    <w:rsid w:val="2FE39431"/>
    <w:rsid w:val="3301A62D"/>
    <w:rsid w:val="3413419F"/>
    <w:rsid w:val="343B2B1F"/>
    <w:rsid w:val="35EAA133"/>
    <w:rsid w:val="36E7ADAB"/>
    <w:rsid w:val="3740A360"/>
    <w:rsid w:val="377E12F1"/>
    <w:rsid w:val="380B29A6"/>
    <w:rsid w:val="3A27177B"/>
    <w:rsid w:val="3A656B1C"/>
    <w:rsid w:val="3B04598B"/>
    <w:rsid w:val="3B283F16"/>
    <w:rsid w:val="3B570D98"/>
    <w:rsid w:val="3BAA2BAC"/>
    <w:rsid w:val="3CB04570"/>
    <w:rsid w:val="3DECEFCE"/>
    <w:rsid w:val="3E9FA3EA"/>
    <w:rsid w:val="3EA0B37A"/>
    <w:rsid w:val="407D8953"/>
    <w:rsid w:val="40E785A6"/>
    <w:rsid w:val="41D77FE1"/>
    <w:rsid w:val="42670777"/>
    <w:rsid w:val="443EBAD4"/>
    <w:rsid w:val="44A05DF8"/>
    <w:rsid w:val="44D82A44"/>
    <w:rsid w:val="451026D4"/>
    <w:rsid w:val="45BAF6C9"/>
    <w:rsid w:val="45FEBEC8"/>
    <w:rsid w:val="47153089"/>
    <w:rsid w:val="47F4C11E"/>
    <w:rsid w:val="48E7C055"/>
    <w:rsid w:val="493D9D13"/>
    <w:rsid w:val="497E56EF"/>
    <w:rsid w:val="49F6C556"/>
    <w:rsid w:val="49FF82DB"/>
    <w:rsid w:val="4B12617D"/>
    <w:rsid w:val="4B35ECDE"/>
    <w:rsid w:val="4BE26FD7"/>
    <w:rsid w:val="4C34B60F"/>
    <w:rsid w:val="4D92F409"/>
    <w:rsid w:val="4DCDF634"/>
    <w:rsid w:val="4E0EFBAC"/>
    <w:rsid w:val="4EA3FDC9"/>
    <w:rsid w:val="50B766F1"/>
    <w:rsid w:val="50C35E1C"/>
    <w:rsid w:val="50D1D94D"/>
    <w:rsid w:val="50D6D392"/>
    <w:rsid w:val="52219F7A"/>
    <w:rsid w:val="52A16757"/>
    <w:rsid w:val="533641B0"/>
    <w:rsid w:val="53F98A6D"/>
    <w:rsid w:val="5B2DB0CC"/>
    <w:rsid w:val="5B373B86"/>
    <w:rsid w:val="5BDDDD10"/>
    <w:rsid w:val="5C7718A5"/>
    <w:rsid w:val="5F9E4758"/>
    <w:rsid w:val="603A080B"/>
    <w:rsid w:val="6056C6D5"/>
    <w:rsid w:val="609FE411"/>
    <w:rsid w:val="63EF1613"/>
    <w:rsid w:val="6436F7E0"/>
    <w:rsid w:val="65E079A1"/>
    <w:rsid w:val="663E13B4"/>
    <w:rsid w:val="663EAB23"/>
    <w:rsid w:val="66590C16"/>
    <w:rsid w:val="681452AA"/>
    <w:rsid w:val="68340470"/>
    <w:rsid w:val="69516C47"/>
    <w:rsid w:val="6A01673B"/>
    <w:rsid w:val="6B91280A"/>
    <w:rsid w:val="6BE431E7"/>
    <w:rsid w:val="6CAD1DA7"/>
    <w:rsid w:val="6EFC0F08"/>
    <w:rsid w:val="70C2D868"/>
    <w:rsid w:val="711524A5"/>
    <w:rsid w:val="720C7920"/>
    <w:rsid w:val="72495E26"/>
    <w:rsid w:val="755E48F6"/>
    <w:rsid w:val="75CFD946"/>
    <w:rsid w:val="7763E3D4"/>
    <w:rsid w:val="77D093A0"/>
    <w:rsid w:val="77FD80E2"/>
    <w:rsid w:val="7A7E6D18"/>
    <w:rsid w:val="7B2A0586"/>
    <w:rsid w:val="7C518491"/>
    <w:rsid w:val="7CDF0856"/>
    <w:rsid w:val="7F55CD5C"/>
    <w:rsid w:val="7FC4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0781F2"/>
  <w15:chartTrackingRefBased/>
  <w15:docId w15:val="{A0947EBB-C61F-4004-A655-4185A413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2870"/>
    <w:pPr>
      <w:spacing w:after="120" w:line="264" w:lineRule="auto"/>
    </w:pPr>
    <w:rPr>
      <w:rFonts w:eastAsiaTheme="minorEastAsia"/>
      <w:sz w:val="21"/>
      <w:szCs w:val="20"/>
    </w:rPr>
  </w:style>
  <w:style w:type="paragraph" w:styleId="Heading1">
    <w:name w:val="heading 1"/>
    <w:basedOn w:val="Normal"/>
    <w:next w:val="Normal"/>
    <w:link w:val="Heading1Char"/>
    <w:qFormat/>
    <w:rsid w:val="00682870"/>
    <w:pPr>
      <w:keepNext/>
      <w:keepLines/>
      <w:spacing w:line="340" w:lineRule="exact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82870"/>
    <w:pPr>
      <w:keepNext/>
      <w:keepLines/>
      <w:spacing w:before="240" w:line="280" w:lineRule="exact"/>
      <w:outlineLvl w:val="1"/>
    </w:pPr>
    <w:rPr>
      <w:rFonts w:asciiTheme="majorHAnsi" w:eastAsiaTheme="majorEastAsia" w:hAnsiTheme="majorHAnsi" w:cstheme="majorHAnsi"/>
      <w:color w:val="003082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828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82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qFormat/>
    <w:rsid w:val="00682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Heading6">
    <w:name w:val="heading 6"/>
    <w:basedOn w:val="Normal"/>
    <w:next w:val="Normal"/>
    <w:link w:val="Heading6Char"/>
    <w:qFormat/>
    <w:rsid w:val="00682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Cs w:val="21"/>
    </w:rPr>
  </w:style>
  <w:style w:type="paragraph" w:styleId="Heading7">
    <w:name w:val="heading 7"/>
    <w:basedOn w:val="Normal"/>
    <w:next w:val="Normal"/>
    <w:link w:val="Heading7Char"/>
    <w:unhideWhenUsed/>
    <w:qFormat/>
    <w:rsid w:val="00682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Cs w:val="21"/>
    </w:rPr>
  </w:style>
  <w:style w:type="paragraph" w:styleId="Heading8">
    <w:name w:val="heading 8"/>
    <w:basedOn w:val="Normal"/>
    <w:next w:val="Normal"/>
    <w:link w:val="Heading8Char"/>
    <w:unhideWhenUsed/>
    <w:qFormat/>
    <w:rsid w:val="00682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nhideWhenUsed/>
    <w:qFormat/>
    <w:rsid w:val="00682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28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82870"/>
    <w:rPr>
      <w:rFonts w:asciiTheme="majorHAnsi" w:eastAsiaTheme="majorEastAsia" w:hAnsiTheme="majorHAnsi" w:cstheme="majorHAnsi"/>
      <w:color w:val="003082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8287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82870"/>
    <w:rPr>
      <w:rFonts w:asciiTheme="majorHAnsi" w:eastAsiaTheme="majorEastAsia" w:hAnsiTheme="majorHAnsi" w:cstheme="majorBidi"/>
      <w:sz w:val="21"/>
    </w:rPr>
  </w:style>
  <w:style w:type="character" w:customStyle="1" w:styleId="Heading5Char">
    <w:name w:val="Heading 5 Char"/>
    <w:basedOn w:val="DefaultParagraphFont"/>
    <w:link w:val="Heading5"/>
    <w:rsid w:val="00682870"/>
    <w:rPr>
      <w:rFonts w:asciiTheme="majorHAnsi" w:eastAsiaTheme="majorEastAsia" w:hAnsiTheme="majorHAnsi" w:cstheme="majorBidi"/>
      <w:color w:val="44546A" w:themeColor="text2"/>
      <w:sz w:val="21"/>
    </w:rPr>
  </w:style>
  <w:style w:type="character" w:customStyle="1" w:styleId="Heading6Char">
    <w:name w:val="Heading 6 Char"/>
    <w:basedOn w:val="DefaultParagraphFont"/>
    <w:link w:val="Heading6"/>
    <w:rsid w:val="0068287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rsid w:val="0068287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rsid w:val="00682870"/>
    <w:rPr>
      <w:rFonts w:asciiTheme="majorHAnsi" w:eastAsiaTheme="majorEastAsia" w:hAnsiTheme="majorHAnsi" w:cstheme="majorBidi"/>
      <w:b/>
      <w:bCs/>
      <w:color w:val="44546A" w:themeColor="text2"/>
      <w:sz w:val="21"/>
      <w:szCs w:val="20"/>
    </w:rPr>
  </w:style>
  <w:style w:type="character" w:customStyle="1" w:styleId="Heading9Char">
    <w:name w:val="Heading 9 Char"/>
    <w:basedOn w:val="DefaultParagraphFont"/>
    <w:link w:val="Heading9"/>
    <w:rsid w:val="00682870"/>
    <w:rPr>
      <w:rFonts w:asciiTheme="majorHAnsi" w:eastAsiaTheme="majorEastAsia" w:hAnsiTheme="majorHAnsi" w:cstheme="majorBidi"/>
      <w:b/>
      <w:bCs/>
      <w:i/>
      <w:iCs/>
      <w:color w:val="44546A" w:themeColor="text2"/>
      <w:sz w:val="21"/>
      <w:szCs w:val="20"/>
    </w:rPr>
  </w:style>
  <w:style w:type="paragraph" w:styleId="Caption">
    <w:name w:val="caption"/>
    <w:basedOn w:val="Normal"/>
    <w:next w:val="Normal"/>
    <w:unhideWhenUsed/>
    <w:qFormat/>
    <w:rsid w:val="0068287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qFormat/>
    <w:rsid w:val="00682870"/>
    <w:pPr>
      <w:spacing w:line="320" w:lineRule="exact"/>
      <w:contextualSpacing/>
    </w:pPr>
    <w:rPr>
      <w:rFonts w:asciiTheme="majorHAnsi" w:eastAsiaTheme="majorEastAsia" w:hAnsiTheme="majorHAnsi" w:cstheme="majorHAnsi"/>
      <w:color w:val="003082"/>
      <w:spacing w:val="-1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82870"/>
    <w:rPr>
      <w:rFonts w:asciiTheme="majorHAnsi" w:eastAsiaTheme="majorEastAsia" w:hAnsiTheme="majorHAnsi" w:cstheme="majorHAnsi"/>
      <w:color w:val="003082"/>
      <w:spacing w:val="-10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682870"/>
    <w:pPr>
      <w:numPr>
        <w:ilvl w:val="1"/>
      </w:numPr>
      <w:spacing w:before="240" w:line="300" w:lineRule="exact"/>
    </w:pPr>
    <w:rPr>
      <w:rFonts w:asciiTheme="majorHAnsi" w:eastAsiaTheme="majorEastAsia" w:hAnsiTheme="majorHAnsi" w:cstheme="majorHAnsi"/>
      <w:color w:val="003082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2870"/>
    <w:rPr>
      <w:rFonts w:asciiTheme="majorHAnsi" w:eastAsiaTheme="majorEastAsia" w:hAnsiTheme="majorHAnsi" w:cstheme="majorHAnsi"/>
      <w:color w:val="003082"/>
      <w:sz w:val="24"/>
      <w:szCs w:val="24"/>
    </w:rPr>
  </w:style>
  <w:style w:type="character" w:styleId="Strong">
    <w:name w:val="Strong"/>
    <w:basedOn w:val="DefaultParagraphFont"/>
    <w:uiPriority w:val="22"/>
    <w:qFormat/>
    <w:rsid w:val="00682870"/>
    <w:rPr>
      <w:b/>
      <w:bCs/>
    </w:rPr>
  </w:style>
  <w:style w:type="character" w:styleId="Emphasis">
    <w:name w:val="Emphasis"/>
    <w:basedOn w:val="DefaultParagraphFont"/>
    <w:uiPriority w:val="20"/>
    <w:qFormat/>
    <w:rsid w:val="00682870"/>
    <w:rPr>
      <w:i/>
      <w:iCs/>
    </w:rPr>
  </w:style>
  <w:style w:type="paragraph" w:styleId="NoSpacing">
    <w:name w:val="No Spacing"/>
    <w:uiPriority w:val="1"/>
    <w:qFormat/>
    <w:rsid w:val="00682870"/>
    <w:pPr>
      <w:spacing w:after="0" w:line="240" w:lineRule="auto"/>
    </w:pPr>
    <w:rPr>
      <w:rFonts w:eastAsiaTheme="minorEastAsia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8287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2870"/>
    <w:rPr>
      <w:rFonts w:eastAsiaTheme="minorEastAsia"/>
      <w:i/>
      <w:iCs/>
      <w:color w:val="404040" w:themeColor="text1" w:themeTint="BF"/>
      <w:sz w:val="21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287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2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8287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8287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8287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8287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82870"/>
    <w:rPr>
      <w:b/>
      <w:bCs/>
      <w:smallCaps/>
    </w:rPr>
  </w:style>
  <w:style w:type="paragraph" w:styleId="Header">
    <w:name w:val="header"/>
    <w:basedOn w:val="Normal"/>
    <w:link w:val="HeaderChar"/>
    <w:unhideWhenUsed/>
    <w:rsid w:val="0068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2870"/>
    <w:rPr>
      <w:rFonts w:eastAsiaTheme="minorEastAsia"/>
      <w:sz w:val="21"/>
      <w:szCs w:val="20"/>
    </w:rPr>
  </w:style>
  <w:style w:type="paragraph" w:styleId="Footer">
    <w:name w:val="footer"/>
    <w:basedOn w:val="Normal"/>
    <w:link w:val="FooterChar"/>
    <w:unhideWhenUsed/>
    <w:rsid w:val="0068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82870"/>
    <w:rPr>
      <w:rFonts w:eastAsiaTheme="minorEastAsia"/>
      <w:sz w:val="21"/>
      <w:szCs w:val="20"/>
    </w:rPr>
  </w:style>
  <w:style w:type="character" w:styleId="Hyperlink">
    <w:name w:val="Hyperlink"/>
    <w:basedOn w:val="DefaultParagraphFont"/>
    <w:unhideWhenUsed/>
    <w:rsid w:val="006828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682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2870"/>
    <w:rPr>
      <w:rFonts w:ascii="Segoe UI" w:eastAsiaTheme="minorEastAsia" w:hAnsi="Segoe UI" w:cs="Segoe UI"/>
      <w:sz w:val="18"/>
      <w:szCs w:val="18"/>
    </w:rPr>
  </w:style>
  <w:style w:type="paragraph" w:customStyle="1" w:styleId="Table-Head">
    <w:name w:val="Table - Head"/>
    <w:basedOn w:val="Normal"/>
    <w:rsid w:val="00682870"/>
    <w:pPr>
      <w:spacing w:before="40" w:after="100" w:line="290" w:lineRule="atLeast"/>
    </w:pPr>
    <w:rPr>
      <w:rFonts w:ascii="Garamond" w:eastAsia="Times New Roman" w:hAnsi="Garamond" w:cs="Times New Roman"/>
      <w:b/>
      <w:color w:val="000000"/>
      <w:sz w:val="23"/>
    </w:rPr>
  </w:style>
  <w:style w:type="paragraph" w:customStyle="1" w:styleId="Table">
    <w:name w:val="Table"/>
    <w:basedOn w:val="Normal"/>
    <w:rsid w:val="00682870"/>
    <w:pPr>
      <w:keepNext/>
      <w:spacing w:before="40" w:after="40" w:line="290" w:lineRule="atLeast"/>
    </w:pPr>
    <w:rPr>
      <w:rFonts w:ascii="Garamond" w:eastAsia="Times New Roman" w:hAnsi="Garamond" w:cs="Times New Roman"/>
      <w:snapToGrid w:val="0"/>
      <w:color w:val="000000"/>
      <w:sz w:val="23"/>
    </w:rPr>
  </w:style>
  <w:style w:type="paragraph" w:customStyle="1" w:styleId="MemoHead">
    <w:name w:val="MemoHead"/>
    <w:basedOn w:val="Title"/>
    <w:rsid w:val="00682870"/>
    <w:pPr>
      <w:spacing w:before="480" w:after="480" w:line="290" w:lineRule="atLeast"/>
      <w:contextualSpacing w:val="0"/>
      <w:outlineLvl w:val="0"/>
    </w:pPr>
    <w:rPr>
      <w:rFonts w:ascii="Arial" w:eastAsia="Times New Roman" w:hAnsi="Arial" w:cs="Times New Roman"/>
      <w:b/>
      <w:color w:val="auto"/>
      <w:spacing w:val="0"/>
      <w:kern w:val="28"/>
      <w:sz w:val="48"/>
      <w:szCs w:val="20"/>
    </w:rPr>
  </w:style>
  <w:style w:type="paragraph" w:customStyle="1" w:styleId="Default">
    <w:name w:val="Default"/>
    <w:rsid w:val="0068287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Body">
    <w:name w:val="Body"/>
    <w:basedOn w:val="Normal"/>
    <w:rsid w:val="00682870"/>
    <w:pPr>
      <w:numPr>
        <w:ilvl w:val="12"/>
      </w:numPr>
      <w:spacing w:before="240" w:line="240" w:lineRule="auto"/>
    </w:pPr>
    <w:rPr>
      <w:rFonts w:ascii="Garamond" w:eastAsia="Times New Roman" w:hAnsi="Garamond" w:cs="Times New Roman"/>
      <w:sz w:val="23"/>
    </w:rPr>
  </w:style>
  <w:style w:type="paragraph" w:styleId="BodyText">
    <w:name w:val="Body Text"/>
    <w:basedOn w:val="Normal"/>
    <w:link w:val="BodyTextChar"/>
    <w:rsid w:val="00682870"/>
    <w:pPr>
      <w:spacing w:before="100" w:line="290" w:lineRule="atLeast"/>
    </w:pPr>
    <w:rPr>
      <w:rFonts w:ascii="Garamond" w:eastAsia="Times New Roman" w:hAnsi="Garamond" w:cs="Times New Roman"/>
      <w:sz w:val="23"/>
    </w:rPr>
  </w:style>
  <w:style w:type="character" w:customStyle="1" w:styleId="BodyTextChar">
    <w:name w:val="Body Text Char"/>
    <w:basedOn w:val="DefaultParagraphFont"/>
    <w:link w:val="BodyText"/>
    <w:rsid w:val="00682870"/>
    <w:rPr>
      <w:rFonts w:ascii="Garamond" w:eastAsia="Times New Roman" w:hAnsi="Garamond" w:cs="Times New Roman"/>
      <w:sz w:val="23"/>
      <w:szCs w:val="20"/>
    </w:rPr>
  </w:style>
  <w:style w:type="paragraph" w:customStyle="1" w:styleId="Number">
    <w:name w:val="Number"/>
    <w:rsid w:val="00682870"/>
    <w:pPr>
      <w:numPr>
        <w:numId w:val="3"/>
      </w:numPr>
      <w:tabs>
        <w:tab w:val="left" w:pos="288"/>
      </w:tabs>
      <w:spacing w:after="120" w:line="300" w:lineRule="exact"/>
    </w:pPr>
    <w:rPr>
      <w:rFonts w:ascii="Garamond" w:eastAsia="SimSun" w:hAnsi="Garamond" w:cs="Times New Roman"/>
      <w:noProof/>
      <w:sz w:val="23"/>
      <w:szCs w:val="20"/>
    </w:rPr>
  </w:style>
  <w:style w:type="character" w:styleId="FollowedHyperlink">
    <w:name w:val="FollowedHyperlink"/>
    <w:basedOn w:val="DefaultParagraphFont"/>
    <w:rsid w:val="00682870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682870"/>
    <w:pPr>
      <w:spacing w:before="100" w:after="100" w:line="290" w:lineRule="atLeast"/>
    </w:pPr>
    <w:rPr>
      <w:rFonts w:ascii="Garamond" w:eastAsia="SimSun" w:hAnsi="Garamond" w:cs="Times New Roman"/>
      <w:sz w:val="23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870"/>
    <w:rPr>
      <w:rFonts w:ascii="Garamond" w:eastAsia="SimSun" w:hAnsi="Garamond" w:cs="Times New Roman"/>
      <w:sz w:val="23"/>
      <w:szCs w:val="20"/>
    </w:rPr>
  </w:style>
  <w:style w:type="paragraph" w:styleId="ListBullet">
    <w:name w:val="List Bullet"/>
    <w:basedOn w:val="Normal"/>
    <w:autoRedefine/>
    <w:rsid w:val="00682870"/>
    <w:pPr>
      <w:numPr>
        <w:numId w:val="4"/>
      </w:numPr>
      <w:spacing w:before="100" w:after="100" w:line="290" w:lineRule="atLeast"/>
    </w:pPr>
    <w:rPr>
      <w:rFonts w:ascii="Garamond" w:eastAsia="SimSun" w:hAnsi="Garamond" w:cs="Times New Roman"/>
      <w:sz w:val="23"/>
    </w:rPr>
  </w:style>
  <w:style w:type="paragraph" w:styleId="ListBullet2">
    <w:name w:val="List Bullet 2"/>
    <w:basedOn w:val="Normal"/>
    <w:autoRedefine/>
    <w:rsid w:val="00682870"/>
    <w:pPr>
      <w:numPr>
        <w:numId w:val="5"/>
      </w:numPr>
      <w:spacing w:before="100" w:after="100" w:line="290" w:lineRule="atLeast"/>
    </w:pPr>
    <w:rPr>
      <w:rFonts w:ascii="Garamond" w:eastAsia="SimSun" w:hAnsi="Garamond" w:cs="Times New Roman"/>
      <w:sz w:val="23"/>
    </w:rPr>
  </w:style>
  <w:style w:type="paragraph" w:styleId="ListBullet3">
    <w:name w:val="List Bullet 3"/>
    <w:basedOn w:val="Normal"/>
    <w:autoRedefine/>
    <w:rsid w:val="00682870"/>
    <w:pPr>
      <w:numPr>
        <w:numId w:val="6"/>
      </w:numPr>
      <w:spacing w:before="100" w:after="100" w:line="290" w:lineRule="atLeast"/>
    </w:pPr>
    <w:rPr>
      <w:rFonts w:ascii="Garamond" w:eastAsia="SimSun" w:hAnsi="Garamond" w:cs="Times New Roman"/>
      <w:sz w:val="23"/>
    </w:rPr>
  </w:style>
  <w:style w:type="paragraph" w:styleId="ListBullet4">
    <w:name w:val="List Bullet 4"/>
    <w:basedOn w:val="Normal"/>
    <w:autoRedefine/>
    <w:rsid w:val="00682870"/>
    <w:pPr>
      <w:numPr>
        <w:numId w:val="7"/>
      </w:numPr>
      <w:spacing w:before="100" w:after="100" w:line="290" w:lineRule="atLeast"/>
    </w:pPr>
    <w:rPr>
      <w:rFonts w:ascii="Garamond" w:eastAsia="SimSun" w:hAnsi="Garamond" w:cs="Times New Roman"/>
      <w:sz w:val="23"/>
    </w:rPr>
  </w:style>
  <w:style w:type="paragraph" w:styleId="ListBullet5">
    <w:name w:val="List Bullet 5"/>
    <w:basedOn w:val="Normal"/>
    <w:autoRedefine/>
    <w:rsid w:val="00682870"/>
    <w:pPr>
      <w:numPr>
        <w:numId w:val="8"/>
      </w:numPr>
      <w:spacing w:before="100" w:after="100" w:line="290" w:lineRule="atLeast"/>
    </w:pPr>
    <w:rPr>
      <w:rFonts w:ascii="Garamond" w:eastAsia="SimSun" w:hAnsi="Garamond" w:cs="Times New Roman"/>
      <w:sz w:val="23"/>
    </w:rPr>
  </w:style>
  <w:style w:type="paragraph" w:styleId="ListNumber">
    <w:name w:val="List Number"/>
    <w:basedOn w:val="Normal"/>
    <w:rsid w:val="00682870"/>
    <w:pPr>
      <w:numPr>
        <w:numId w:val="9"/>
      </w:numPr>
      <w:spacing w:before="100" w:after="100" w:line="290" w:lineRule="atLeast"/>
    </w:pPr>
    <w:rPr>
      <w:rFonts w:ascii="Garamond" w:eastAsia="SimSun" w:hAnsi="Garamond" w:cs="Times New Roman"/>
      <w:sz w:val="23"/>
    </w:rPr>
  </w:style>
  <w:style w:type="paragraph" w:styleId="ListNumber2">
    <w:name w:val="List Number 2"/>
    <w:basedOn w:val="Normal"/>
    <w:rsid w:val="00682870"/>
    <w:pPr>
      <w:numPr>
        <w:numId w:val="10"/>
      </w:numPr>
      <w:spacing w:before="100" w:after="100" w:line="290" w:lineRule="atLeast"/>
    </w:pPr>
    <w:rPr>
      <w:rFonts w:ascii="Garamond" w:eastAsia="SimSun" w:hAnsi="Garamond" w:cs="Times New Roman"/>
      <w:sz w:val="23"/>
    </w:rPr>
  </w:style>
  <w:style w:type="paragraph" w:styleId="ListNumber3">
    <w:name w:val="List Number 3"/>
    <w:basedOn w:val="Normal"/>
    <w:rsid w:val="00682870"/>
    <w:pPr>
      <w:numPr>
        <w:numId w:val="11"/>
      </w:numPr>
      <w:spacing w:before="100" w:after="100" w:line="290" w:lineRule="atLeast"/>
    </w:pPr>
    <w:rPr>
      <w:rFonts w:ascii="Garamond" w:eastAsia="SimSun" w:hAnsi="Garamond" w:cs="Times New Roman"/>
      <w:sz w:val="23"/>
    </w:rPr>
  </w:style>
  <w:style w:type="paragraph" w:styleId="ListNumber4">
    <w:name w:val="List Number 4"/>
    <w:basedOn w:val="Normal"/>
    <w:rsid w:val="00682870"/>
    <w:pPr>
      <w:numPr>
        <w:numId w:val="12"/>
      </w:numPr>
      <w:spacing w:before="100" w:after="100" w:line="290" w:lineRule="atLeast"/>
    </w:pPr>
    <w:rPr>
      <w:rFonts w:ascii="Garamond" w:eastAsia="SimSun" w:hAnsi="Garamond" w:cs="Times New Roman"/>
      <w:sz w:val="23"/>
    </w:rPr>
  </w:style>
  <w:style w:type="paragraph" w:styleId="ListNumber5">
    <w:name w:val="List Number 5"/>
    <w:basedOn w:val="Normal"/>
    <w:rsid w:val="00682870"/>
    <w:pPr>
      <w:numPr>
        <w:numId w:val="13"/>
      </w:numPr>
      <w:spacing w:before="100" w:after="100" w:line="290" w:lineRule="atLeast"/>
    </w:pPr>
    <w:rPr>
      <w:rFonts w:ascii="Garamond" w:eastAsia="SimSun" w:hAnsi="Garamond" w:cs="Times New Roman"/>
      <w:sz w:val="23"/>
    </w:rPr>
  </w:style>
  <w:style w:type="character" w:customStyle="1" w:styleId="DocumentMapChar">
    <w:name w:val="Document Map Char"/>
    <w:basedOn w:val="DefaultParagraphFont"/>
    <w:link w:val="DocumentMap"/>
    <w:semiHidden/>
    <w:rsid w:val="00682870"/>
    <w:rPr>
      <w:rFonts w:ascii="Tahoma" w:eastAsia="SimSun" w:hAnsi="Tahoma" w:cs="Times New Roman"/>
      <w:sz w:val="23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682870"/>
    <w:pPr>
      <w:shd w:val="clear" w:color="auto" w:fill="000080"/>
      <w:spacing w:before="100" w:after="100" w:line="290" w:lineRule="atLeast"/>
    </w:pPr>
    <w:rPr>
      <w:rFonts w:ascii="Tahoma" w:eastAsia="SimSun" w:hAnsi="Tahoma" w:cs="Times New Roman"/>
      <w:sz w:val="23"/>
      <w:szCs w:val="22"/>
    </w:rPr>
  </w:style>
  <w:style w:type="character" w:customStyle="1" w:styleId="DocumentMapChar1">
    <w:name w:val="Document Map Char1"/>
    <w:basedOn w:val="DefaultParagraphFont"/>
    <w:uiPriority w:val="99"/>
    <w:semiHidden/>
    <w:rsid w:val="00682870"/>
    <w:rPr>
      <w:rFonts w:ascii="Segoe UI" w:eastAsiaTheme="minorEastAsia" w:hAnsi="Segoe UI" w:cs="Segoe UI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682870"/>
    <w:rPr>
      <w:rFonts w:ascii="Times New Roman" w:eastAsia="SimSun" w:hAnsi="Times New Roman" w:cs="Times New Roman"/>
      <w:noProof/>
      <w:sz w:val="18"/>
    </w:rPr>
  </w:style>
  <w:style w:type="paragraph" w:styleId="FootnoteText">
    <w:name w:val="footnote text"/>
    <w:link w:val="FootnoteTextChar"/>
    <w:semiHidden/>
    <w:rsid w:val="00682870"/>
    <w:pPr>
      <w:tabs>
        <w:tab w:val="left" w:pos="216"/>
      </w:tabs>
      <w:spacing w:after="0" w:line="240" w:lineRule="auto"/>
      <w:ind w:left="216" w:hanging="216"/>
    </w:pPr>
    <w:rPr>
      <w:rFonts w:ascii="Times New Roman" w:eastAsia="SimSun" w:hAnsi="Times New Roman" w:cs="Times New Roman"/>
      <w:noProof/>
      <w:sz w:val="18"/>
    </w:rPr>
  </w:style>
  <w:style w:type="character" w:customStyle="1" w:styleId="FootnoteTextChar1">
    <w:name w:val="Footnote Text Char1"/>
    <w:basedOn w:val="DefaultParagraphFont"/>
    <w:uiPriority w:val="99"/>
    <w:semiHidden/>
    <w:rsid w:val="00682870"/>
    <w:rPr>
      <w:rFonts w:eastAsiaTheme="minorEastAsia"/>
      <w:sz w:val="20"/>
      <w:szCs w:val="20"/>
    </w:rPr>
  </w:style>
  <w:style w:type="paragraph" w:customStyle="1" w:styleId="NormalIndent1">
    <w:name w:val="Normal Indent1"/>
    <w:basedOn w:val="Normal"/>
    <w:next w:val="Normal"/>
    <w:rsid w:val="00682870"/>
    <w:pPr>
      <w:spacing w:before="100" w:line="290" w:lineRule="atLeast"/>
      <w:ind w:left="720"/>
    </w:pPr>
    <w:rPr>
      <w:rFonts w:ascii="Garamond" w:eastAsia="SimSun" w:hAnsi="Garamond" w:cs="Times New Roman"/>
      <w:sz w:val="23"/>
    </w:rPr>
  </w:style>
  <w:style w:type="paragraph" w:customStyle="1" w:styleId="BodyBullet">
    <w:name w:val="Body Bullet"/>
    <w:basedOn w:val="Body"/>
    <w:next w:val="Body"/>
    <w:rsid w:val="00682870"/>
    <w:pPr>
      <w:numPr>
        <w:ilvl w:val="0"/>
        <w:numId w:val="16"/>
      </w:numPr>
      <w:ind w:left="720" w:hanging="360"/>
    </w:pPr>
    <w:rPr>
      <w:rFonts w:eastAsia="SimSun"/>
    </w:rPr>
  </w:style>
  <w:style w:type="paragraph" w:customStyle="1" w:styleId="Footnote">
    <w:name w:val="Footnote"/>
    <w:basedOn w:val="Footer"/>
    <w:rsid w:val="00682870"/>
    <w:pPr>
      <w:tabs>
        <w:tab w:val="clear" w:pos="4680"/>
        <w:tab w:val="left" w:pos="216"/>
        <w:tab w:val="center" w:pos="4320"/>
        <w:tab w:val="right" w:pos="8640"/>
      </w:tabs>
      <w:ind w:left="216" w:hanging="216"/>
    </w:pPr>
    <w:rPr>
      <w:rFonts w:ascii="Verdana" w:eastAsia="SimSun" w:hAnsi="Verdana" w:cs="Times New Roman"/>
      <w:sz w:val="16"/>
    </w:rPr>
  </w:style>
  <w:style w:type="character" w:styleId="PageNumber">
    <w:name w:val="page number"/>
    <w:basedOn w:val="DefaultParagraphFont"/>
    <w:rsid w:val="00682870"/>
  </w:style>
  <w:style w:type="paragraph" w:customStyle="1" w:styleId="ListinBullet2">
    <w:name w:val="List in Bullet 2"/>
    <w:basedOn w:val="Normal"/>
    <w:rsid w:val="00682870"/>
    <w:pPr>
      <w:keepLines/>
      <w:tabs>
        <w:tab w:val="left" w:pos="2880"/>
      </w:tabs>
      <w:spacing w:before="60" w:after="60" w:line="280" w:lineRule="exact"/>
      <w:ind w:left="2880" w:hanging="1440"/>
    </w:pPr>
    <w:rPr>
      <w:rFonts w:ascii="Garamond" w:eastAsia="SimSun" w:hAnsi="Garamond" w:cs="Times New Roman"/>
      <w:sz w:val="23"/>
    </w:rPr>
  </w:style>
  <w:style w:type="paragraph" w:customStyle="1" w:styleId="Number2">
    <w:name w:val="Number 2"/>
    <w:basedOn w:val="Body"/>
    <w:rsid w:val="00682870"/>
    <w:pPr>
      <w:numPr>
        <w:ilvl w:val="0"/>
        <w:numId w:val="15"/>
      </w:numPr>
      <w:tabs>
        <w:tab w:val="left" w:pos="1008"/>
      </w:tabs>
    </w:pPr>
    <w:rPr>
      <w:rFonts w:eastAsia="SimSun"/>
    </w:rPr>
  </w:style>
  <w:style w:type="paragraph" w:customStyle="1" w:styleId="a">
    <w:name w:val="_"/>
    <w:basedOn w:val="Normal"/>
    <w:rsid w:val="00682870"/>
    <w:pPr>
      <w:keepNext/>
      <w:tabs>
        <w:tab w:val="left" w:pos="244"/>
        <w:tab w:val="left" w:pos="460"/>
        <w:tab w:val="left" w:pos="964"/>
        <w:tab w:val="left" w:pos="1180"/>
        <w:tab w:val="left" w:pos="1440"/>
        <w:tab w:val="left" w:pos="1900"/>
        <w:tab w:val="left" w:pos="2620"/>
        <w:tab w:val="left" w:pos="3340"/>
        <w:tab w:val="left" w:pos="4060"/>
        <w:tab w:val="left" w:pos="4780"/>
        <w:tab w:val="left" w:pos="5500"/>
        <w:tab w:val="left" w:pos="6220"/>
        <w:tab w:val="left" w:pos="6940"/>
        <w:tab w:val="left" w:pos="7660"/>
        <w:tab w:val="left" w:pos="8380"/>
        <w:tab w:val="left" w:pos="9100"/>
        <w:tab w:val="left" w:pos="9820"/>
        <w:tab w:val="left" w:pos="10540"/>
        <w:tab w:val="left" w:pos="11260"/>
        <w:tab w:val="left" w:pos="11980"/>
        <w:tab w:val="left" w:pos="12700"/>
        <w:tab w:val="left" w:pos="13420"/>
        <w:tab w:val="left" w:pos="14140"/>
        <w:tab w:val="left" w:pos="14860"/>
        <w:tab w:val="left" w:pos="15580"/>
        <w:tab w:val="left" w:pos="16300"/>
        <w:tab w:val="left" w:pos="17020"/>
        <w:tab w:val="left" w:pos="17740"/>
        <w:tab w:val="left" w:pos="18460"/>
        <w:tab w:val="left" w:pos="19180"/>
      </w:tabs>
      <w:spacing w:before="100" w:after="100" w:line="290" w:lineRule="atLeast"/>
    </w:pPr>
    <w:rPr>
      <w:rFonts w:ascii="Arial" w:eastAsia="SimSun" w:hAnsi="Arial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rsid w:val="00682870"/>
    <w:pPr>
      <w:spacing w:before="100" w:line="290" w:lineRule="atLeast"/>
      <w:ind w:left="360"/>
    </w:pPr>
    <w:rPr>
      <w:rFonts w:ascii="Garamond" w:eastAsia="SimSun" w:hAnsi="Garamond" w:cs="Times New Roman"/>
      <w:sz w:val="23"/>
    </w:rPr>
  </w:style>
  <w:style w:type="character" w:customStyle="1" w:styleId="BodyTextIndentChar">
    <w:name w:val="Body Text Indent Char"/>
    <w:basedOn w:val="DefaultParagraphFont"/>
    <w:link w:val="BodyTextIndent"/>
    <w:rsid w:val="00682870"/>
    <w:rPr>
      <w:rFonts w:ascii="Garamond" w:eastAsia="SimSun" w:hAnsi="Garamond" w:cs="Times New Roman"/>
      <w:sz w:val="23"/>
      <w:szCs w:val="20"/>
    </w:rPr>
  </w:style>
  <w:style w:type="paragraph" w:customStyle="1" w:styleId="VarName">
    <w:name w:val="VarName"/>
    <w:basedOn w:val="Body"/>
    <w:next w:val="VarDescription"/>
    <w:rsid w:val="00682870"/>
    <w:pPr>
      <w:keepNext/>
    </w:pPr>
    <w:rPr>
      <w:rFonts w:ascii="Verdana" w:eastAsia="SimSun" w:hAnsi="Verdana"/>
      <w:sz w:val="18"/>
    </w:rPr>
  </w:style>
  <w:style w:type="paragraph" w:customStyle="1" w:styleId="VarDescription">
    <w:name w:val="VarDescription"/>
    <w:basedOn w:val="Body"/>
    <w:rsid w:val="00682870"/>
    <w:pPr>
      <w:keepLines/>
      <w:ind w:left="360"/>
    </w:pPr>
    <w:rPr>
      <w:rFonts w:eastAsia="SimSun"/>
    </w:rPr>
  </w:style>
  <w:style w:type="paragraph" w:styleId="PlainText">
    <w:name w:val="Plain Text"/>
    <w:basedOn w:val="Normal"/>
    <w:link w:val="PlainTextChar"/>
    <w:rsid w:val="00682870"/>
    <w:pPr>
      <w:spacing w:before="100" w:after="100" w:line="290" w:lineRule="atLeast"/>
      <w:ind w:right="-1080"/>
    </w:pPr>
    <w:rPr>
      <w:rFonts w:ascii="Courier" w:eastAsia="SimSun" w:hAnsi="Courier" w:cs="Times New Roman"/>
      <w:sz w:val="16"/>
    </w:rPr>
  </w:style>
  <w:style w:type="character" w:customStyle="1" w:styleId="PlainTextChar">
    <w:name w:val="Plain Text Char"/>
    <w:basedOn w:val="DefaultParagraphFont"/>
    <w:link w:val="PlainText"/>
    <w:rsid w:val="00682870"/>
    <w:rPr>
      <w:rFonts w:ascii="Courier" w:eastAsia="SimSun" w:hAnsi="Courier" w:cs="Times New Roman"/>
      <w:sz w:val="16"/>
      <w:szCs w:val="20"/>
    </w:rPr>
  </w:style>
  <w:style w:type="paragraph" w:styleId="BodyText2">
    <w:name w:val="Body Text 2"/>
    <w:basedOn w:val="Normal"/>
    <w:link w:val="BodyText2Char"/>
    <w:rsid w:val="00682870"/>
    <w:pPr>
      <w:spacing w:before="100" w:line="480" w:lineRule="auto"/>
    </w:pPr>
    <w:rPr>
      <w:rFonts w:ascii="Garamond" w:eastAsia="SimSun" w:hAnsi="Garamond" w:cs="Times New Roman"/>
      <w:sz w:val="23"/>
    </w:rPr>
  </w:style>
  <w:style w:type="character" w:customStyle="1" w:styleId="BodyText2Char">
    <w:name w:val="Body Text 2 Char"/>
    <w:basedOn w:val="DefaultParagraphFont"/>
    <w:link w:val="BodyText2"/>
    <w:rsid w:val="00682870"/>
    <w:rPr>
      <w:rFonts w:ascii="Garamond" w:eastAsia="SimSun" w:hAnsi="Garamond" w:cs="Times New Roman"/>
      <w:sz w:val="23"/>
      <w:szCs w:val="20"/>
    </w:rPr>
  </w:style>
  <w:style w:type="paragraph" w:styleId="BodyText3">
    <w:name w:val="Body Text 3"/>
    <w:basedOn w:val="Normal"/>
    <w:link w:val="BodyText3Char"/>
    <w:rsid w:val="00682870"/>
    <w:pPr>
      <w:spacing w:before="100" w:line="290" w:lineRule="atLeast"/>
    </w:pPr>
    <w:rPr>
      <w:rFonts w:ascii="Garamond" w:eastAsia="SimSun" w:hAnsi="Garamond" w:cs="Times New Roman"/>
      <w:sz w:val="16"/>
    </w:rPr>
  </w:style>
  <w:style w:type="character" w:customStyle="1" w:styleId="BodyText3Char">
    <w:name w:val="Body Text 3 Char"/>
    <w:basedOn w:val="DefaultParagraphFont"/>
    <w:link w:val="BodyText3"/>
    <w:rsid w:val="00682870"/>
    <w:rPr>
      <w:rFonts w:ascii="Garamond" w:eastAsia="SimSun" w:hAnsi="Garamond" w:cs="Times New Roman"/>
      <w:sz w:val="16"/>
      <w:szCs w:val="20"/>
    </w:rPr>
  </w:style>
  <w:style w:type="paragraph" w:styleId="BodyTextFirstIndent">
    <w:name w:val="Body Text First Indent"/>
    <w:basedOn w:val="BodyText"/>
    <w:link w:val="BodyTextFirstIndentChar"/>
    <w:rsid w:val="00682870"/>
    <w:pPr>
      <w:ind w:firstLine="210"/>
    </w:pPr>
    <w:rPr>
      <w:rFonts w:eastAsia="SimSun"/>
    </w:rPr>
  </w:style>
  <w:style w:type="character" w:customStyle="1" w:styleId="BodyTextFirstIndentChar">
    <w:name w:val="Body Text First Indent Char"/>
    <w:basedOn w:val="BodyTextChar"/>
    <w:link w:val="BodyTextFirstIndent"/>
    <w:rsid w:val="00682870"/>
    <w:rPr>
      <w:rFonts w:ascii="Garamond" w:eastAsia="SimSun" w:hAnsi="Garamond" w:cs="Times New Roman"/>
      <w:sz w:val="23"/>
      <w:szCs w:val="20"/>
    </w:rPr>
  </w:style>
  <w:style w:type="paragraph" w:styleId="BodyTextFirstIndent2">
    <w:name w:val="Body Text First Indent 2"/>
    <w:basedOn w:val="BodyTextIndent"/>
    <w:link w:val="BodyTextFirstIndent2Char"/>
    <w:rsid w:val="0068287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82870"/>
    <w:rPr>
      <w:rFonts w:ascii="Garamond" w:eastAsia="SimSun" w:hAnsi="Garamond" w:cs="Times New Roman"/>
      <w:sz w:val="23"/>
      <w:szCs w:val="20"/>
    </w:rPr>
  </w:style>
  <w:style w:type="paragraph" w:styleId="BodyTextIndent2">
    <w:name w:val="Body Text Indent 2"/>
    <w:basedOn w:val="Normal"/>
    <w:link w:val="BodyTextIndent2Char"/>
    <w:rsid w:val="00682870"/>
    <w:pPr>
      <w:spacing w:before="100" w:line="480" w:lineRule="auto"/>
      <w:ind w:left="360"/>
    </w:pPr>
    <w:rPr>
      <w:rFonts w:ascii="Garamond" w:eastAsia="SimSun" w:hAnsi="Garamond" w:cs="Times New Roman"/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682870"/>
    <w:rPr>
      <w:rFonts w:ascii="Garamond" w:eastAsia="SimSun" w:hAnsi="Garamond" w:cs="Times New Roman"/>
      <w:sz w:val="23"/>
      <w:szCs w:val="20"/>
    </w:rPr>
  </w:style>
  <w:style w:type="paragraph" w:styleId="BodyTextIndent3">
    <w:name w:val="Body Text Indent 3"/>
    <w:basedOn w:val="Normal"/>
    <w:link w:val="BodyTextIndent3Char"/>
    <w:rsid w:val="00682870"/>
    <w:pPr>
      <w:spacing w:before="100" w:line="290" w:lineRule="atLeast"/>
      <w:ind w:left="360"/>
    </w:pPr>
    <w:rPr>
      <w:rFonts w:ascii="Garamond" w:eastAsia="SimSun" w:hAnsi="Garamond" w:cs="Times New Roman"/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682870"/>
    <w:rPr>
      <w:rFonts w:ascii="Garamond" w:eastAsia="SimSun" w:hAnsi="Garamond" w:cs="Times New Roman"/>
      <w:sz w:val="16"/>
      <w:szCs w:val="20"/>
    </w:rPr>
  </w:style>
  <w:style w:type="paragraph" w:styleId="Closing">
    <w:name w:val="Closing"/>
    <w:basedOn w:val="Normal"/>
    <w:link w:val="ClosingChar"/>
    <w:rsid w:val="00682870"/>
    <w:pPr>
      <w:spacing w:before="100" w:after="100" w:line="290" w:lineRule="atLeast"/>
      <w:ind w:left="4320"/>
    </w:pPr>
    <w:rPr>
      <w:rFonts w:ascii="Garamond" w:eastAsia="SimSun" w:hAnsi="Garamond" w:cs="Times New Roman"/>
      <w:sz w:val="23"/>
    </w:rPr>
  </w:style>
  <w:style w:type="character" w:customStyle="1" w:styleId="ClosingChar">
    <w:name w:val="Closing Char"/>
    <w:basedOn w:val="DefaultParagraphFont"/>
    <w:link w:val="Closing"/>
    <w:rsid w:val="00682870"/>
    <w:rPr>
      <w:rFonts w:ascii="Garamond" w:eastAsia="SimSun" w:hAnsi="Garamond" w:cs="Times New Roman"/>
      <w:sz w:val="23"/>
      <w:szCs w:val="20"/>
    </w:rPr>
  </w:style>
  <w:style w:type="paragraph" w:styleId="Date">
    <w:name w:val="Date"/>
    <w:basedOn w:val="Normal"/>
    <w:next w:val="Normal"/>
    <w:link w:val="DateChar"/>
    <w:rsid w:val="00682870"/>
    <w:pPr>
      <w:spacing w:before="100" w:after="100" w:line="290" w:lineRule="atLeast"/>
    </w:pPr>
    <w:rPr>
      <w:rFonts w:ascii="Garamond" w:eastAsia="SimSun" w:hAnsi="Garamond" w:cs="Times New Roman"/>
      <w:sz w:val="23"/>
    </w:rPr>
  </w:style>
  <w:style w:type="character" w:customStyle="1" w:styleId="DateChar">
    <w:name w:val="Date Char"/>
    <w:basedOn w:val="DefaultParagraphFont"/>
    <w:link w:val="Date"/>
    <w:rsid w:val="00682870"/>
    <w:rPr>
      <w:rFonts w:ascii="Garamond" w:eastAsia="SimSun" w:hAnsi="Garamond" w:cs="Times New Roman"/>
      <w:sz w:val="23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82870"/>
    <w:rPr>
      <w:rFonts w:ascii="Garamond" w:eastAsia="SimSun" w:hAnsi="Garamond" w:cs="Times New Roman"/>
      <w:sz w:val="23"/>
    </w:rPr>
  </w:style>
  <w:style w:type="paragraph" w:styleId="EndnoteText">
    <w:name w:val="endnote text"/>
    <w:basedOn w:val="Normal"/>
    <w:link w:val="EndnoteTextChar"/>
    <w:semiHidden/>
    <w:rsid w:val="00682870"/>
    <w:pPr>
      <w:spacing w:before="100" w:after="100" w:line="290" w:lineRule="atLeast"/>
    </w:pPr>
    <w:rPr>
      <w:rFonts w:ascii="Garamond" w:eastAsia="SimSun" w:hAnsi="Garamond" w:cs="Times New Roman"/>
      <w:sz w:val="23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682870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rsid w:val="00682870"/>
    <w:pPr>
      <w:framePr w:w="7920" w:h="1980" w:hRule="exact" w:hSpace="180" w:wrap="auto" w:hAnchor="page" w:xAlign="center" w:yAlign="bottom"/>
      <w:spacing w:before="100" w:after="100" w:line="290" w:lineRule="atLeast"/>
      <w:ind w:left="2880"/>
    </w:pPr>
    <w:rPr>
      <w:rFonts w:ascii="Arial" w:eastAsia="SimSun" w:hAnsi="Arial" w:cs="Times New Roman"/>
      <w:sz w:val="24"/>
    </w:rPr>
  </w:style>
  <w:style w:type="paragraph" w:styleId="EnvelopeReturn">
    <w:name w:val="envelope return"/>
    <w:basedOn w:val="Normal"/>
    <w:rsid w:val="00682870"/>
    <w:pPr>
      <w:spacing w:before="100" w:after="100" w:line="290" w:lineRule="atLeast"/>
    </w:pPr>
    <w:rPr>
      <w:rFonts w:ascii="Arial" w:eastAsia="SimSun" w:hAnsi="Arial" w:cs="Times New Roman"/>
      <w:sz w:val="23"/>
    </w:rPr>
  </w:style>
  <w:style w:type="paragraph" w:styleId="List">
    <w:name w:val="List"/>
    <w:basedOn w:val="Normal"/>
    <w:rsid w:val="00682870"/>
    <w:pPr>
      <w:spacing w:before="100" w:after="100" w:line="290" w:lineRule="atLeast"/>
      <w:ind w:left="360" w:hanging="360"/>
    </w:pPr>
    <w:rPr>
      <w:rFonts w:ascii="Garamond" w:eastAsia="SimSun" w:hAnsi="Garamond" w:cs="Times New Roman"/>
      <w:sz w:val="23"/>
    </w:rPr>
  </w:style>
  <w:style w:type="paragraph" w:styleId="List2">
    <w:name w:val="List 2"/>
    <w:basedOn w:val="Normal"/>
    <w:rsid w:val="00682870"/>
    <w:pPr>
      <w:spacing w:before="100" w:after="100" w:line="290" w:lineRule="atLeast"/>
      <w:ind w:left="720" w:hanging="360"/>
    </w:pPr>
    <w:rPr>
      <w:rFonts w:ascii="Garamond" w:eastAsia="SimSun" w:hAnsi="Garamond" w:cs="Times New Roman"/>
      <w:sz w:val="23"/>
    </w:rPr>
  </w:style>
  <w:style w:type="paragraph" w:styleId="List3">
    <w:name w:val="List 3"/>
    <w:basedOn w:val="Normal"/>
    <w:rsid w:val="00682870"/>
    <w:pPr>
      <w:spacing w:before="100" w:after="100" w:line="290" w:lineRule="atLeast"/>
      <w:ind w:left="1080" w:hanging="360"/>
    </w:pPr>
    <w:rPr>
      <w:rFonts w:ascii="Garamond" w:eastAsia="SimSun" w:hAnsi="Garamond" w:cs="Times New Roman"/>
      <w:sz w:val="23"/>
    </w:rPr>
  </w:style>
  <w:style w:type="paragraph" w:styleId="List4">
    <w:name w:val="List 4"/>
    <w:basedOn w:val="Normal"/>
    <w:rsid w:val="00682870"/>
    <w:pPr>
      <w:spacing w:before="100" w:after="100" w:line="290" w:lineRule="atLeast"/>
      <w:ind w:left="1440" w:hanging="360"/>
    </w:pPr>
    <w:rPr>
      <w:rFonts w:ascii="Garamond" w:eastAsia="SimSun" w:hAnsi="Garamond" w:cs="Times New Roman"/>
      <w:sz w:val="23"/>
    </w:rPr>
  </w:style>
  <w:style w:type="paragraph" w:styleId="List5">
    <w:name w:val="List 5"/>
    <w:basedOn w:val="Normal"/>
    <w:rsid w:val="00682870"/>
    <w:pPr>
      <w:spacing w:before="100" w:after="100" w:line="290" w:lineRule="atLeast"/>
      <w:ind w:left="1800" w:hanging="360"/>
    </w:pPr>
    <w:rPr>
      <w:rFonts w:ascii="Garamond" w:eastAsia="SimSun" w:hAnsi="Garamond" w:cs="Times New Roman"/>
      <w:sz w:val="23"/>
    </w:rPr>
  </w:style>
  <w:style w:type="paragraph" w:styleId="ListContinue">
    <w:name w:val="List Continue"/>
    <w:basedOn w:val="Normal"/>
    <w:rsid w:val="00682870"/>
    <w:pPr>
      <w:spacing w:before="100" w:line="290" w:lineRule="atLeast"/>
      <w:ind w:left="360"/>
    </w:pPr>
    <w:rPr>
      <w:rFonts w:ascii="Garamond" w:eastAsia="SimSun" w:hAnsi="Garamond" w:cs="Times New Roman"/>
      <w:sz w:val="23"/>
    </w:rPr>
  </w:style>
  <w:style w:type="paragraph" w:styleId="ListContinue2">
    <w:name w:val="List Continue 2"/>
    <w:basedOn w:val="Normal"/>
    <w:rsid w:val="00682870"/>
    <w:pPr>
      <w:spacing w:before="100" w:line="290" w:lineRule="atLeast"/>
      <w:ind w:left="720"/>
    </w:pPr>
    <w:rPr>
      <w:rFonts w:ascii="Garamond" w:eastAsia="SimSun" w:hAnsi="Garamond" w:cs="Times New Roman"/>
      <w:sz w:val="23"/>
    </w:rPr>
  </w:style>
  <w:style w:type="paragraph" w:styleId="ListContinue3">
    <w:name w:val="List Continue 3"/>
    <w:basedOn w:val="Normal"/>
    <w:rsid w:val="00682870"/>
    <w:pPr>
      <w:spacing w:before="100" w:line="290" w:lineRule="atLeast"/>
      <w:ind w:left="1080"/>
    </w:pPr>
    <w:rPr>
      <w:rFonts w:ascii="Garamond" w:eastAsia="SimSun" w:hAnsi="Garamond" w:cs="Times New Roman"/>
      <w:sz w:val="23"/>
    </w:rPr>
  </w:style>
  <w:style w:type="paragraph" w:styleId="ListContinue4">
    <w:name w:val="List Continue 4"/>
    <w:basedOn w:val="Normal"/>
    <w:rsid w:val="00682870"/>
    <w:pPr>
      <w:spacing w:before="100" w:line="290" w:lineRule="atLeast"/>
      <w:ind w:left="1440"/>
    </w:pPr>
    <w:rPr>
      <w:rFonts w:ascii="Garamond" w:eastAsia="SimSun" w:hAnsi="Garamond" w:cs="Times New Roman"/>
      <w:sz w:val="23"/>
    </w:rPr>
  </w:style>
  <w:style w:type="paragraph" w:styleId="ListContinue5">
    <w:name w:val="List Continue 5"/>
    <w:basedOn w:val="Normal"/>
    <w:rsid w:val="00682870"/>
    <w:pPr>
      <w:spacing w:before="100" w:line="290" w:lineRule="atLeast"/>
      <w:ind w:left="1800"/>
    </w:pPr>
    <w:rPr>
      <w:rFonts w:ascii="Garamond" w:eastAsia="SimSun" w:hAnsi="Garamond" w:cs="Times New Roman"/>
      <w:sz w:val="23"/>
    </w:rPr>
  </w:style>
  <w:style w:type="character" w:customStyle="1" w:styleId="MacroTextChar">
    <w:name w:val="Macro Text Char"/>
    <w:basedOn w:val="DefaultParagraphFont"/>
    <w:link w:val="MacroText"/>
    <w:semiHidden/>
    <w:rsid w:val="00682870"/>
    <w:rPr>
      <w:rFonts w:ascii="Courier New" w:eastAsia="SimSun" w:hAnsi="Courier New" w:cs="Times New Roman"/>
    </w:rPr>
  </w:style>
  <w:style w:type="paragraph" w:styleId="MacroText">
    <w:name w:val="macro"/>
    <w:link w:val="MacroTextChar"/>
    <w:semiHidden/>
    <w:rsid w:val="006828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SimSun" w:hAnsi="Courier New" w:cs="Times New Roman"/>
    </w:rPr>
  </w:style>
  <w:style w:type="character" w:customStyle="1" w:styleId="MacroTextChar1">
    <w:name w:val="Macro Text Char1"/>
    <w:basedOn w:val="DefaultParagraphFont"/>
    <w:uiPriority w:val="99"/>
    <w:semiHidden/>
    <w:rsid w:val="00682870"/>
    <w:rPr>
      <w:rFonts w:ascii="Consolas" w:eastAsiaTheme="minorEastAsia" w:hAnsi="Consolas"/>
      <w:sz w:val="20"/>
      <w:szCs w:val="20"/>
    </w:rPr>
  </w:style>
  <w:style w:type="paragraph" w:styleId="MessageHeader">
    <w:name w:val="Message Header"/>
    <w:basedOn w:val="Normal"/>
    <w:link w:val="MessageHeaderChar"/>
    <w:rsid w:val="006828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00" w:after="100" w:line="290" w:lineRule="atLeast"/>
      <w:ind w:left="1080" w:hanging="1080"/>
    </w:pPr>
    <w:rPr>
      <w:rFonts w:ascii="Arial" w:eastAsia="SimSun" w:hAnsi="Arial" w:cs="Times New Roman"/>
      <w:sz w:val="24"/>
    </w:rPr>
  </w:style>
  <w:style w:type="character" w:customStyle="1" w:styleId="MessageHeaderChar">
    <w:name w:val="Message Header Char"/>
    <w:basedOn w:val="DefaultParagraphFont"/>
    <w:link w:val="MessageHeader"/>
    <w:rsid w:val="00682870"/>
    <w:rPr>
      <w:rFonts w:ascii="Arial" w:eastAsia="SimSun" w:hAnsi="Arial" w:cs="Times New Roman"/>
      <w:sz w:val="24"/>
      <w:szCs w:val="20"/>
      <w:shd w:val="pct20" w:color="auto" w:fill="auto"/>
    </w:rPr>
  </w:style>
  <w:style w:type="paragraph" w:styleId="NormalIndent">
    <w:name w:val="Normal Indent"/>
    <w:basedOn w:val="Normal"/>
    <w:rsid w:val="00682870"/>
    <w:pPr>
      <w:spacing w:before="100" w:after="100" w:line="290" w:lineRule="atLeast"/>
      <w:ind w:left="720"/>
    </w:pPr>
    <w:rPr>
      <w:rFonts w:ascii="Garamond" w:eastAsia="SimSun" w:hAnsi="Garamond" w:cs="Times New Roman"/>
      <w:sz w:val="23"/>
    </w:rPr>
  </w:style>
  <w:style w:type="paragraph" w:styleId="NoteHeading">
    <w:name w:val="Note Heading"/>
    <w:basedOn w:val="Normal"/>
    <w:next w:val="Normal"/>
    <w:link w:val="NoteHeadingChar"/>
    <w:rsid w:val="00682870"/>
    <w:pPr>
      <w:spacing w:before="100" w:after="100" w:line="290" w:lineRule="atLeast"/>
    </w:pPr>
    <w:rPr>
      <w:rFonts w:ascii="Garamond" w:eastAsia="SimSun" w:hAnsi="Garamond" w:cs="Times New Roman"/>
      <w:sz w:val="23"/>
    </w:rPr>
  </w:style>
  <w:style w:type="character" w:customStyle="1" w:styleId="NoteHeadingChar">
    <w:name w:val="Note Heading Char"/>
    <w:basedOn w:val="DefaultParagraphFont"/>
    <w:link w:val="NoteHeading"/>
    <w:rsid w:val="00682870"/>
    <w:rPr>
      <w:rFonts w:ascii="Garamond" w:eastAsia="SimSun" w:hAnsi="Garamond" w:cs="Times New Roman"/>
      <w:sz w:val="23"/>
      <w:szCs w:val="20"/>
    </w:rPr>
  </w:style>
  <w:style w:type="paragraph" w:styleId="Salutation">
    <w:name w:val="Salutation"/>
    <w:basedOn w:val="Normal"/>
    <w:next w:val="Normal"/>
    <w:link w:val="SalutationChar"/>
    <w:rsid w:val="00682870"/>
    <w:pPr>
      <w:spacing w:before="100" w:after="100" w:line="290" w:lineRule="atLeast"/>
    </w:pPr>
    <w:rPr>
      <w:rFonts w:ascii="Garamond" w:eastAsia="SimSun" w:hAnsi="Garamond" w:cs="Times New Roman"/>
      <w:sz w:val="23"/>
    </w:rPr>
  </w:style>
  <w:style w:type="character" w:customStyle="1" w:styleId="SalutationChar">
    <w:name w:val="Salutation Char"/>
    <w:basedOn w:val="DefaultParagraphFont"/>
    <w:link w:val="Salutation"/>
    <w:rsid w:val="00682870"/>
    <w:rPr>
      <w:rFonts w:ascii="Garamond" w:eastAsia="SimSun" w:hAnsi="Garamond" w:cs="Times New Roman"/>
      <w:sz w:val="23"/>
      <w:szCs w:val="20"/>
    </w:rPr>
  </w:style>
  <w:style w:type="paragraph" w:styleId="Signature">
    <w:name w:val="Signature"/>
    <w:basedOn w:val="Normal"/>
    <w:link w:val="SignatureChar"/>
    <w:rsid w:val="00682870"/>
    <w:pPr>
      <w:spacing w:before="100" w:after="100" w:line="290" w:lineRule="atLeast"/>
      <w:ind w:left="4320"/>
    </w:pPr>
    <w:rPr>
      <w:rFonts w:ascii="Garamond" w:eastAsia="SimSun" w:hAnsi="Garamond" w:cs="Times New Roman"/>
      <w:sz w:val="23"/>
    </w:rPr>
  </w:style>
  <w:style w:type="character" w:customStyle="1" w:styleId="SignatureChar">
    <w:name w:val="Signature Char"/>
    <w:basedOn w:val="DefaultParagraphFont"/>
    <w:link w:val="Signature"/>
    <w:rsid w:val="00682870"/>
    <w:rPr>
      <w:rFonts w:ascii="Garamond" w:eastAsia="SimSun" w:hAnsi="Garamond" w:cs="Times New Roman"/>
      <w:sz w:val="23"/>
      <w:szCs w:val="20"/>
    </w:rPr>
  </w:style>
  <w:style w:type="paragraph" w:customStyle="1" w:styleId="BodyList">
    <w:name w:val="Body_List"/>
    <w:basedOn w:val="Body"/>
    <w:rsid w:val="00682870"/>
    <w:pPr>
      <w:spacing w:after="80"/>
      <w:ind w:left="1800" w:hanging="1440"/>
    </w:pPr>
    <w:rPr>
      <w:rFonts w:eastAsia="SimSun"/>
    </w:rPr>
  </w:style>
  <w:style w:type="paragraph" w:customStyle="1" w:styleId="BodyList2">
    <w:name w:val="Body_List_2"/>
    <w:basedOn w:val="Body"/>
    <w:rsid w:val="00682870"/>
    <w:pPr>
      <w:spacing w:after="80"/>
      <w:ind w:left="1440" w:hanging="720"/>
    </w:pPr>
    <w:rPr>
      <w:rFonts w:eastAsia="SimSun"/>
    </w:rPr>
  </w:style>
  <w:style w:type="paragraph" w:styleId="CommentSubject">
    <w:name w:val="annotation subject"/>
    <w:basedOn w:val="CommentText"/>
    <w:next w:val="CommentText"/>
    <w:link w:val="CommentSubjectChar"/>
    <w:rsid w:val="00682870"/>
    <w:pPr>
      <w:spacing w:line="240" w:lineRule="auto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682870"/>
    <w:rPr>
      <w:rFonts w:ascii="Garamond" w:eastAsia="SimSun" w:hAnsi="Garamond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287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8287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682870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682870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57733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unhideWhenUsed/>
    <w:rsid w:val="009677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5430"/>
    <w:pPr>
      <w:spacing w:after="0" w:line="240" w:lineRule="auto"/>
    </w:pPr>
    <w:rPr>
      <w:rFonts w:eastAsiaTheme="minorEastAsia"/>
      <w:sz w:val="21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7444"/>
  </w:style>
  <w:style w:type="paragraph" w:styleId="BlockText">
    <w:name w:val="Block Text"/>
    <w:basedOn w:val="Normal"/>
    <w:uiPriority w:val="99"/>
    <w:semiHidden/>
    <w:unhideWhenUsed/>
    <w:rsid w:val="00DC744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4472C4" w:themeColor="accent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744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7444"/>
    <w:rPr>
      <w:rFonts w:eastAsiaTheme="minorEastAsia"/>
      <w:sz w:val="21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C744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7444"/>
    <w:rPr>
      <w:rFonts w:eastAsiaTheme="minorEastAsia"/>
      <w:i/>
      <w:iCs/>
      <w:sz w:val="21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7444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7444"/>
    <w:rPr>
      <w:rFonts w:ascii="Consolas" w:eastAsiaTheme="minorEastAsia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C7444"/>
    <w:pPr>
      <w:spacing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semiHidden/>
    <w:unhideWhenUsed/>
    <w:rsid w:val="00DC7444"/>
    <w:pPr>
      <w:spacing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semiHidden/>
    <w:unhideWhenUsed/>
    <w:rsid w:val="00DC7444"/>
    <w:pPr>
      <w:spacing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semiHidden/>
    <w:unhideWhenUsed/>
    <w:rsid w:val="00DC7444"/>
    <w:pPr>
      <w:spacing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semiHidden/>
    <w:unhideWhenUsed/>
    <w:rsid w:val="00DC7444"/>
    <w:pPr>
      <w:spacing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semiHidden/>
    <w:unhideWhenUsed/>
    <w:rsid w:val="00DC7444"/>
    <w:pPr>
      <w:spacing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semiHidden/>
    <w:unhideWhenUsed/>
    <w:rsid w:val="00DC7444"/>
    <w:pPr>
      <w:spacing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semiHidden/>
    <w:unhideWhenUsed/>
    <w:rsid w:val="00DC7444"/>
    <w:pPr>
      <w:spacing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semiHidden/>
    <w:unhideWhenUsed/>
    <w:rsid w:val="00DC7444"/>
    <w:pPr>
      <w:spacing w:after="0" w:line="240" w:lineRule="auto"/>
      <w:ind w:left="1890" w:hanging="210"/>
    </w:pPr>
  </w:style>
  <w:style w:type="paragraph" w:styleId="IndexHeading">
    <w:name w:val="index heading"/>
    <w:basedOn w:val="Normal"/>
    <w:next w:val="Index1"/>
    <w:semiHidden/>
    <w:unhideWhenUsed/>
    <w:rsid w:val="00DC7444"/>
    <w:rPr>
      <w:rFonts w:asciiTheme="majorHAnsi" w:eastAsiaTheme="majorEastAsia" w:hAnsiTheme="majorHAnsi" w:cstheme="majorBidi"/>
      <w:b/>
      <w:bCs/>
    </w:rPr>
  </w:style>
  <w:style w:type="paragraph" w:styleId="TableofAuthorities">
    <w:name w:val="table of authorities"/>
    <w:basedOn w:val="Normal"/>
    <w:next w:val="Normal"/>
    <w:semiHidden/>
    <w:unhideWhenUsed/>
    <w:rsid w:val="00DC7444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semiHidden/>
    <w:unhideWhenUsed/>
    <w:rsid w:val="00DC7444"/>
    <w:pPr>
      <w:spacing w:after="0"/>
    </w:pPr>
  </w:style>
  <w:style w:type="paragraph" w:styleId="TOAHeading">
    <w:name w:val="toa heading"/>
    <w:basedOn w:val="Normal"/>
    <w:next w:val="Normal"/>
    <w:semiHidden/>
    <w:unhideWhenUsed/>
    <w:rsid w:val="00DC744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C7444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C7444"/>
    <w:pPr>
      <w:spacing w:after="100"/>
      <w:ind w:left="210"/>
    </w:pPr>
  </w:style>
  <w:style w:type="paragraph" w:styleId="TOC3">
    <w:name w:val="toc 3"/>
    <w:basedOn w:val="Normal"/>
    <w:next w:val="Normal"/>
    <w:autoRedefine/>
    <w:semiHidden/>
    <w:unhideWhenUsed/>
    <w:rsid w:val="00DC7444"/>
    <w:pPr>
      <w:spacing w:after="100"/>
      <w:ind w:left="420"/>
    </w:pPr>
  </w:style>
  <w:style w:type="paragraph" w:styleId="TOC4">
    <w:name w:val="toc 4"/>
    <w:basedOn w:val="Normal"/>
    <w:next w:val="Normal"/>
    <w:autoRedefine/>
    <w:semiHidden/>
    <w:unhideWhenUsed/>
    <w:rsid w:val="00DC7444"/>
    <w:pPr>
      <w:spacing w:after="100"/>
      <w:ind w:left="630"/>
    </w:pPr>
  </w:style>
  <w:style w:type="paragraph" w:styleId="TOC5">
    <w:name w:val="toc 5"/>
    <w:basedOn w:val="Normal"/>
    <w:next w:val="Normal"/>
    <w:autoRedefine/>
    <w:semiHidden/>
    <w:unhideWhenUsed/>
    <w:rsid w:val="00DC7444"/>
    <w:pPr>
      <w:spacing w:after="100"/>
      <w:ind w:left="840"/>
    </w:pPr>
  </w:style>
  <w:style w:type="paragraph" w:styleId="TOC6">
    <w:name w:val="toc 6"/>
    <w:basedOn w:val="Normal"/>
    <w:next w:val="Normal"/>
    <w:autoRedefine/>
    <w:semiHidden/>
    <w:unhideWhenUsed/>
    <w:rsid w:val="00DC7444"/>
    <w:pPr>
      <w:spacing w:after="100"/>
      <w:ind w:left="1050"/>
    </w:pPr>
  </w:style>
  <w:style w:type="paragraph" w:styleId="TOC7">
    <w:name w:val="toc 7"/>
    <w:basedOn w:val="Normal"/>
    <w:next w:val="Normal"/>
    <w:autoRedefine/>
    <w:semiHidden/>
    <w:unhideWhenUsed/>
    <w:rsid w:val="00DC7444"/>
    <w:pPr>
      <w:spacing w:after="100"/>
      <w:ind w:left="1260"/>
    </w:pPr>
  </w:style>
  <w:style w:type="paragraph" w:styleId="TOC8">
    <w:name w:val="toc 8"/>
    <w:basedOn w:val="Normal"/>
    <w:next w:val="Normal"/>
    <w:autoRedefine/>
    <w:semiHidden/>
    <w:unhideWhenUsed/>
    <w:rsid w:val="00DC7444"/>
    <w:pPr>
      <w:spacing w:after="100"/>
      <w:ind w:left="1470"/>
    </w:pPr>
  </w:style>
  <w:style w:type="paragraph" w:styleId="TOC9">
    <w:name w:val="toc 9"/>
    <w:basedOn w:val="Normal"/>
    <w:next w:val="Normal"/>
    <w:autoRedefine/>
    <w:semiHidden/>
    <w:unhideWhenUsed/>
    <w:rsid w:val="00DC7444"/>
    <w:pPr>
      <w:spacing w:after="100"/>
      <w:ind w:left="16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444"/>
    <w:pPr>
      <w:spacing w:before="240" w:after="0" w:line="264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ronus\naep\2019\Science\DBA\Data%20Analysis\Factor%20Analysis\Post_DAC_SBT_Eval_Nov2020\DBA%20Science%20-%20Grade%208%20-%20EFA%20Summary_Uni_(Full,%202DI,%202SBT,%20Mixed)_111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yVal>
            <c:numRef>
              <c:f>Grade8UNI_raw!$B$6412:$HE$6412</c:f>
              <c:numCache>
                <c:formatCode>General</c:formatCode>
                <c:ptCount val="212"/>
                <c:pt idx="0">
                  <c:v>53.207000000000001</c:v>
                </c:pt>
                <c:pt idx="1">
                  <c:v>4.8460000000000001</c:v>
                </c:pt>
                <c:pt idx="2">
                  <c:v>4.58</c:v>
                </c:pt>
                <c:pt idx="3">
                  <c:v>4.4050000000000002</c:v>
                </c:pt>
                <c:pt idx="4">
                  <c:v>4.2560000000000002</c:v>
                </c:pt>
                <c:pt idx="5">
                  <c:v>4.2039999999999997</c:v>
                </c:pt>
                <c:pt idx="6">
                  <c:v>4.0640000000000001</c:v>
                </c:pt>
                <c:pt idx="7">
                  <c:v>3.9249999999999998</c:v>
                </c:pt>
                <c:pt idx="8">
                  <c:v>3.9159999999999999</c:v>
                </c:pt>
                <c:pt idx="9">
                  <c:v>3.7879999999999998</c:v>
                </c:pt>
                <c:pt idx="10">
                  <c:v>3.6680000000000001</c:v>
                </c:pt>
                <c:pt idx="11">
                  <c:v>3.5489999999999999</c:v>
                </c:pt>
                <c:pt idx="12">
                  <c:v>3.5089999999999999</c:v>
                </c:pt>
                <c:pt idx="13">
                  <c:v>3.4780000000000002</c:v>
                </c:pt>
                <c:pt idx="14">
                  <c:v>3.3330000000000002</c:v>
                </c:pt>
                <c:pt idx="15">
                  <c:v>3.2480000000000002</c:v>
                </c:pt>
                <c:pt idx="16">
                  <c:v>3.2290000000000001</c:v>
                </c:pt>
                <c:pt idx="17">
                  <c:v>3.1360000000000001</c:v>
                </c:pt>
                <c:pt idx="18">
                  <c:v>3.1019999999999999</c:v>
                </c:pt>
                <c:pt idx="19">
                  <c:v>3.0550000000000002</c:v>
                </c:pt>
                <c:pt idx="20">
                  <c:v>3.02</c:v>
                </c:pt>
                <c:pt idx="21">
                  <c:v>2.9740000000000002</c:v>
                </c:pt>
                <c:pt idx="22">
                  <c:v>2.9420000000000002</c:v>
                </c:pt>
                <c:pt idx="23">
                  <c:v>2.8820000000000001</c:v>
                </c:pt>
                <c:pt idx="24">
                  <c:v>2.8130000000000002</c:v>
                </c:pt>
                <c:pt idx="25">
                  <c:v>2.7789999999999999</c:v>
                </c:pt>
                <c:pt idx="26">
                  <c:v>2.7109999999999999</c:v>
                </c:pt>
                <c:pt idx="27">
                  <c:v>2.698</c:v>
                </c:pt>
                <c:pt idx="28">
                  <c:v>2.6819999999999999</c:v>
                </c:pt>
                <c:pt idx="29">
                  <c:v>2.66</c:v>
                </c:pt>
                <c:pt idx="30">
                  <c:v>2.5950000000000002</c:v>
                </c:pt>
                <c:pt idx="31">
                  <c:v>2.581</c:v>
                </c:pt>
                <c:pt idx="32">
                  <c:v>2.5539999999999998</c:v>
                </c:pt>
                <c:pt idx="33">
                  <c:v>2.4769999999999999</c:v>
                </c:pt>
                <c:pt idx="34">
                  <c:v>2.4550000000000001</c:v>
                </c:pt>
                <c:pt idx="35">
                  <c:v>2.3820000000000001</c:v>
                </c:pt>
                <c:pt idx="36">
                  <c:v>2.3690000000000002</c:v>
                </c:pt>
                <c:pt idx="37">
                  <c:v>2.3540000000000001</c:v>
                </c:pt>
                <c:pt idx="38">
                  <c:v>2.3199999999999998</c:v>
                </c:pt>
                <c:pt idx="39">
                  <c:v>2.3079999999999998</c:v>
                </c:pt>
                <c:pt idx="40">
                  <c:v>2.2799999999999998</c:v>
                </c:pt>
                <c:pt idx="41">
                  <c:v>2.2570000000000001</c:v>
                </c:pt>
                <c:pt idx="42">
                  <c:v>2.1920000000000002</c:v>
                </c:pt>
                <c:pt idx="43">
                  <c:v>2.165</c:v>
                </c:pt>
                <c:pt idx="44">
                  <c:v>2.1459999999999999</c:v>
                </c:pt>
                <c:pt idx="45">
                  <c:v>2.1150000000000002</c:v>
                </c:pt>
                <c:pt idx="46">
                  <c:v>2.0760000000000001</c:v>
                </c:pt>
                <c:pt idx="47">
                  <c:v>2.0350000000000001</c:v>
                </c:pt>
                <c:pt idx="48">
                  <c:v>2.0129999999999999</c:v>
                </c:pt>
                <c:pt idx="49">
                  <c:v>1.9930000000000001</c:v>
                </c:pt>
                <c:pt idx="50">
                  <c:v>1.9530000000000001</c:v>
                </c:pt>
                <c:pt idx="51">
                  <c:v>1.94</c:v>
                </c:pt>
                <c:pt idx="52">
                  <c:v>1.909</c:v>
                </c:pt>
                <c:pt idx="53">
                  <c:v>1.907</c:v>
                </c:pt>
                <c:pt idx="54">
                  <c:v>1.8660000000000001</c:v>
                </c:pt>
                <c:pt idx="55">
                  <c:v>1.835</c:v>
                </c:pt>
                <c:pt idx="56">
                  <c:v>1.7829999999999999</c:v>
                </c:pt>
                <c:pt idx="57">
                  <c:v>1.768</c:v>
                </c:pt>
                <c:pt idx="58">
                  <c:v>1.7549999999999999</c:v>
                </c:pt>
                <c:pt idx="59">
                  <c:v>1.74</c:v>
                </c:pt>
                <c:pt idx="60">
                  <c:v>1.6930000000000001</c:v>
                </c:pt>
                <c:pt idx="61">
                  <c:v>1.673</c:v>
                </c:pt>
                <c:pt idx="62">
                  <c:v>1.65</c:v>
                </c:pt>
                <c:pt idx="63">
                  <c:v>1.633</c:v>
                </c:pt>
                <c:pt idx="64">
                  <c:v>1.62</c:v>
                </c:pt>
                <c:pt idx="65">
                  <c:v>1.6140000000000001</c:v>
                </c:pt>
                <c:pt idx="66">
                  <c:v>1.544</c:v>
                </c:pt>
                <c:pt idx="67">
                  <c:v>1.518</c:v>
                </c:pt>
                <c:pt idx="68">
                  <c:v>1.5089999999999999</c:v>
                </c:pt>
                <c:pt idx="69">
                  <c:v>1.5009999999999999</c:v>
                </c:pt>
                <c:pt idx="70">
                  <c:v>1.4730000000000001</c:v>
                </c:pt>
                <c:pt idx="71">
                  <c:v>1.454</c:v>
                </c:pt>
                <c:pt idx="72">
                  <c:v>1.42</c:v>
                </c:pt>
                <c:pt idx="73">
                  <c:v>1.405</c:v>
                </c:pt>
                <c:pt idx="74">
                  <c:v>1.3779999999999999</c:v>
                </c:pt>
                <c:pt idx="75">
                  <c:v>1.3460000000000001</c:v>
                </c:pt>
                <c:pt idx="76">
                  <c:v>1.3160000000000001</c:v>
                </c:pt>
                <c:pt idx="77">
                  <c:v>1.294</c:v>
                </c:pt>
                <c:pt idx="78">
                  <c:v>1.2849999999999999</c:v>
                </c:pt>
                <c:pt idx="79">
                  <c:v>1.264</c:v>
                </c:pt>
                <c:pt idx="80">
                  <c:v>1.2490000000000001</c:v>
                </c:pt>
                <c:pt idx="81">
                  <c:v>1.208</c:v>
                </c:pt>
                <c:pt idx="82">
                  <c:v>1.2</c:v>
                </c:pt>
                <c:pt idx="83">
                  <c:v>1.177</c:v>
                </c:pt>
                <c:pt idx="84">
                  <c:v>1.1639999999999999</c:v>
                </c:pt>
                <c:pt idx="85">
                  <c:v>1.139</c:v>
                </c:pt>
                <c:pt idx="86">
                  <c:v>1.1259999999999999</c:v>
                </c:pt>
                <c:pt idx="87">
                  <c:v>1.123</c:v>
                </c:pt>
                <c:pt idx="88">
                  <c:v>1.0980000000000001</c:v>
                </c:pt>
                <c:pt idx="89">
                  <c:v>1.05</c:v>
                </c:pt>
                <c:pt idx="90">
                  <c:v>1.034</c:v>
                </c:pt>
                <c:pt idx="91">
                  <c:v>1.0109999999999999</c:v>
                </c:pt>
                <c:pt idx="92">
                  <c:v>0.997</c:v>
                </c:pt>
                <c:pt idx="93">
                  <c:v>0.97799999999999998</c:v>
                </c:pt>
                <c:pt idx="94">
                  <c:v>0.95699999999999996</c:v>
                </c:pt>
                <c:pt idx="95">
                  <c:v>0.94299999999999995</c:v>
                </c:pt>
                <c:pt idx="96">
                  <c:v>0.92</c:v>
                </c:pt>
                <c:pt idx="97">
                  <c:v>0.88900000000000001</c:v>
                </c:pt>
                <c:pt idx="98">
                  <c:v>0.86599999999999999</c:v>
                </c:pt>
                <c:pt idx="99">
                  <c:v>0.83599999999999997</c:v>
                </c:pt>
                <c:pt idx="100">
                  <c:v>0.82499999999999996</c:v>
                </c:pt>
                <c:pt idx="101">
                  <c:v>0.80900000000000005</c:v>
                </c:pt>
                <c:pt idx="102">
                  <c:v>0.79500000000000004</c:v>
                </c:pt>
                <c:pt idx="103">
                  <c:v>0.748</c:v>
                </c:pt>
                <c:pt idx="104">
                  <c:v>0.71899999999999997</c:v>
                </c:pt>
                <c:pt idx="105">
                  <c:v>0.71499999999999997</c:v>
                </c:pt>
                <c:pt idx="106">
                  <c:v>0.70799999999999996</c:v>
                </c:pt>
                <c:pt idx="107">
                  <c:v>0.65800000000000003</c:v>
                </c:pt>
                <c:pt idx="108">
                  <c:v>0.63900000000000001</c:v>
                </c:pt>
                <c:pt idx="109">
                  <c:v>0.626</c:v>
                </c:pt>
                <c:pt idx="110">
                  <c:v>0.61599999999999999</c:v>
                </c:pt>
                <c:pt idx="111">
                  <c:v>0.60299999999999998</c:v>
                </c:pt>
                <c:pt idx="112">
                  <c:v>0.58399999999999996</c:v>
                </c:pt>
                <c:pt idx="113">
                  <c:v>0.57899999999999996</c:v>
                </c:pt>
                <c:pt idx="114">
                  <c:v>0.55700000000000005</c:v>
                </c:pt>
                <c:pt idx="115">
                  <c:v>0.51700000000000002</c:v>
                </c:pt>
                <c:pt idx="116">
                  <c:v>0.51100000000000001</c:v>
                </c:pt>
                <c:pt idx="117">
                  <c:v>0.48199999999999998</c:v>
                </c:pt>
                <c:pt idx="118">
                  <c:v>0.46</c:v>
                </c:pt>
                <c:pt idx="119">
                  <c:v>0.44500000000000001</c:v>
                </c:pt>
                <c:pt idx="120">
                  <c:v>0.42699999999999999</c:v>
                </c:pt>
                <c:pt idx="121">
                  <c:v>0.40600000000000003</c:v>
                </c:pt>
                <c:pt idx="122">
                  <c:v>0.35599999999999998</c:v>
                </c:pt>
                <c:pt idx="123">
                  <c:v>0.35</c:v>
                </c:pt>
                <c:pt idx="124">
                  <c:v>0.34200000000000003</c:v>
                </c:pt>
                <c:pt idx="125">
                  <c:v>0.32300000000000001</c:v>
                </c:pt>
                <c:pt idx="126">
                  <c:v>0.28299999999999997</c:v>
                </c:pt>
                <c:pt idx="127">
                  <c:v>0.25700000000000001</c:v>
                </c:pt>
                <c:pt idx="128">
                  <c:v>0.23899999999999999</c:v>
                </c:pt>
                <c:pt idx="129">
                  <c:v>0.22</c:v>
                </c:pt>
                <c:pt idx="130">
                  <c:v>0.20399999999999999</c:v>
                </c:pt>
                <c:pt idx="131">
                  <c:v>0.17499999999999999</c:v>
                </c:pt>
                <c:pt idx="132">
                  <c:v>0.16600000000000001</c:v>
                </c:pt>
                <c:pt idx="133">
                  <c:v>0.13</c:v>
                </c:pt>
                <c:pt idx="134">
                  <c:v>0.114</c:v>
                </c:pt>
                <c:pt idx="135">
                  <c:v>8.2000000000000003E-2</c:v>
                </c:pt>
                <c:pt idx="136">
                  <c:v>6.8000000000000005E-2</c:v>
                </c:pt>
                <c:pt idx="137">
                  <c:v>3.5999999999999997E-2</c:v>
                </c:pt>
                <c:pt idx="138">
                  <c:v>2.7E-2</c:v>
                </c:pt>
                <c:pt idx="139">
                  <c:v>1.7000000000000001E-2</c:v>
                </c:pt>
                <c:pt idx="140">
                  <c:v>-8.0000000000000002E-3</c:v>
                </c:pt>
                <c:pt idx="141">
                  <c:v>-2.8000000000000001E-2</c:v>
                </c:pt>
                <c:pt idx="142">
                  <c:v>-5.2999999999999999E-2</c:v>
                </c:pt>
                <c:pt idx="143">
                  <c:v>-8.6999999999999994E-2</c:v>
                </c:pt>
                <c:pt idx="144">
                  <c:v>-0.129</c:v>
                </c:pt>
                <c:pt idx="145">
                  <c:v>-0.14099999999999999</c:v>
                </c:pt>
                <c:pt idx="146">
                  <c:v>-0.151</c:v>
                </c:pt>
                <c:pt idx="147">
                  <c:v>-0.16400000000000001</c:v>
                </c:pt>
                <c:pt idx="148">
                  <c:v>-0.19</c:v>
                </c:pt>
                <c:pt idx="149">
                  <c:v>-0.20799999999999999</c:v>
                </c:pt>
                <c:pt idx="150">
                  <c:v>-0.223</c:v>
                </c:pt>
                <c:pt idx="151">
                  <c:v>-0.253</c:v>
                </c:pt>
                <c:pt idx="152">
                  <c:v>-0.27200000000000002</c:v>
                </c:pt>
                <c:pt idx="153">
                  <c:v>-0.30399999999999999</c:v>
                </c:pt>
                <c:pt idx="154">
                  <c:v>-0.32400000000000001</c:v>
                </c:pt>
                <c:pt idx="155">
                  <c:v>-0.34200000000000003</c:v>
                </c:pt>
                <c:pt idx="156">
                  <c:v>-0.34599999999999997</c:v>
                </c:pt>
                <c:pt idx="157">
                  <c:v>-0.39400000000000002</c:v>
                </c:pt>
                <c:pt idx="158">
                  <c:v>-0.41199999999999998</c:v>
                </c:pt>
                <c:pt idx="159">
                  <c:v>-0.42</c:v>
                </c:pt>
                <c:pt idx="160">
                  <c:v>-0.45800000000000002</c:v>
                </c:pt>
                <c:pt idx="161">
                  <c:v>-0.49399999999999999</c:v>
                </c:pt>
                <c:pt idx="162">
                  <c:v>-0.497</c:v>
                </c:pt>
                <c:pt idx="163">
                  <c:v>-0.53900000000000003</c:v>
                </c:pt>
                <c:pt idx="164">
                  <c:v>-0.54800000000000004</c:v>
                </c:pt>
                <c:pt idx="165">
                  <c:v>-0.55700000000000005</c:v>
                </c:pt>
                <c:pt idx="166">
                  <c:v>-0.63</c:v>
                </c:pt>
                <c:pt idx="167">
                  <c:v>-0.64500000000000002</c:v>
                </c:pt>
                <c:pt idx="168">
                  <c:v>-0.65</c:v>
                </c:pt>
                <c:pt idx="169">
                  <c:v>-0.68600000000000005</c:v>
                </c:pt>
                <c:pt idx="170">
                  <c:v>-0.70099999999999996</c:v>
                </c:pt>
                <c:pt idx="171">
                  <c:v>-0.71399999999999997</c:v>
                </c:pt>
                <c:pt idx="172">
                  <c:v>-0.745</c:v>
                </c:pt>
                <c:pt idx="173">
                  <c:v>-0.77100000000000002</c:v>
                </c:pt>
                <c:pt idx="174">
                  <c:v>-0.79200000000000004</c:v>
                </c:pt>
                <c:pt idx="175">
                  <c:v>-0.83799999999999997</c:v>
                </c:pt>
                <c:pt idx="176">
                  <c:v>-0.89300000000000002</c:v>
                </c:pt>
                <c:pt idx="177">
                  <c:v>-0.90700000000000003</c:v>
                </c:pt>
                <c:pt idx="178">
                  <c:v>-0.93799999999999994</c:v>
                </c:pt>
                <c:pt idx="179">
                  <c:v>-0.97199999999999998</c:v>
                </c:pt>
                <c:pt idx="180">
                  <c:v>-1.0149999999999999</c:v>
                </c:pt>
                <c:pt idx="181">
                  <c:v>-1.028</c:v>
                </c:pt>
                <c:pt idx="182">
                  <c:v>-1.048</c:v>
                </c:pt>
                <c:pt idx="183">
                  <c:v>-1.0660000000000001</c:v>
                </c:pt>
                <c:pt idx="184">
                  <c:v>-1.1120000000000001</c:v>
                </c:pt>
                <c:pt idx="185">
                  <c:v>-1.145</c:v>
                </c:pt>
                <c:pt idx="186">
                  <c:v>-1.2</c:v>
                </c:pt>
                <c:pt idx="187">
                  <c:v>-1.214</c:v>
                </c:pt>
                <c:pt idx="188">
                  <c:v>-1.2589999999999999</c:v>
                </c:pt>
                <c:pt idx="189">
                  <c:v>-1.27</c:v>
                </c:pt>
                <c:pt idx="190">
                  <c:v>-1.329</c:v>
                </c:pt>
                <c:pt idx="191">
                  <c:v>-1.3460000000000001</c:v>
                </c:pt>
                <c:pt idx="192">
                  <c:v>-1.3720000000000001</c:v>
                </c:pt>
                <c:pt idx="193">
                  <c:v>-1.4259999999999999</c:v>
                </c:pt>
                <c:pt idx="194">
                  <c:v>-1.4830000000000001</c:v>
                </c:pt>
                <c:pt idx="195">
                  <c:v>-1.4910000000000001</c:v>
                </c:pt>
                <c:pt idx="196">
                  <c:v>-1.5660000000000001</c:v>
                </c:pt>
                <c:pt idx="197">
                  <c:v>-1.591</c:v>
                </c:pt>
                <c:pt idx="198">
                  <c:v>-1.677</c:v>
                </c:pt>
                <c:pt idx="199">
                  <c:v>-1.6970000000000001</c:v>
                </c:pt>
                <c:pt idx="200">
                  <c:v>-1.786</c:v>
                </c:pt>
                <c:pt idx="201">
                  <c:v>-1.8680000000000001</c:v>
                </c:pt>
                <c:pt idx="202">
                  <c:v>-1.9610000000000001</c:v>
                </c:pt>
                <c:pt idx="203">
                  <c:v>-2.0030000000000001</c:v>
                </c:pt>
                <c:pt idx="204">
                  <c:v>-2.0640000000000001</c:v>
                </c:pt>
                <c:pt idx="205">
                  <c:v>-2.113</c:v>
                </c:pt>
                <c:pt idx="206">
                  <c:v>-2.2789999999999999</c:v>
                </c:pt>
                <c:pt idx="207">
                  <c:v>-2.3439999999999999</c:v>
                </c:pt>
                <c:pt idx="208">
                  <c:v>-2.4020000000000001</c:v>
                </c:pt>
                <c:pt idx="209">
                  <c:v>-2.6589999999999998</c:v>
                </c:pt>
                <c:pt idx="210">
                  <c:v>-2.7330000000000001</c:v>
                </c:pt>
                <c:pt idx="211">
                  <c:v>-3.1880000000000002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127-434D-B836-5C44C319B8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32797552"/>
        <c:axId val="732815920"/>
      </c:scatterChart>
      <c:valAx>
        <c:axId val="732797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endParaRPr lang="en-US"/>
          </a:p>
        </c:txPr>
        <c:crossAx val="732815920"/>
        <c:crosses val="autoZero"/>
        <c:crossBetween val="midCat"/>
      </c:valAx>
      <c:valAx>
        <c:axId val="732815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r>
                  <a:rPr lang="en-US">
                    <a:latin typeface="Garamond" panose="02020404030301010803" pitchFamily="18" charset="0"/>
                  </a:rPr>
                  <a:t>Eigenvalues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Garamond" panose="02020404030301010803" pitchFamily="18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endParaRPr lang="en-US"/>
          </a:p>
        </c:txPr>
        <c:crossAx val="73279755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4BEF85E0D1448B09CBBDF249D3EC5" ma:contentTypeVersion="19" ma:contentTypeDescription="Create a new document." ma:contentTypeScope="" ma:versionID="7215304fd5b23a7aa9b9ad4f87057643">
  <xsd:schema xmlns:xsd="http://www.w3.org/2001/XMLSchema" xmlns:xs="http://www.w3.org/2001/XMLSchema" xmlns:p="http://schemas.microsoft.com/office/2006/metadata/properties" xmlns:ns2="e3063ab8-7491-4b49-a25c-bc994fd4a93c" xmlns:ns3="d39d8994-05ca-4104-85c2-004f564dd1d4" targetNamespace="http://schemas.microsoft.com/office/2006/metadata/properties" ma:root="true" ma:fieldsID="d54d2c822c7bee220f16121cbe8a27de" ns2:_="" ns3:_="">
    <xsd:import namespace="e3063ab8-7491-4b49-a25c-bc994fd4a93c"/>
    <xsd:import namespace="d39d8994-05ca-4104-85c2-004f564dd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63ab8-7491-4b49-a25c-bc994fd4a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d8994-05ca-4104-85c2-004f564dd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DB9A-EDF8-4B54-8330-747BFAF31871}"/>
</file>

<file path=customXml/itemProps2.xml><?xml version="1.0" encoding="utf-8"?>
<ds:datastoreItem xmlns:ds="http://schemas.openxmlformats.org/officeDocument/2006/customXml" ds:itemID="{C5EF5829-CF0F-4552-AF8B-3E0686C4A6C1}">
  <ds:schemaRefs>
    <ds:schemaRef ds:uri="e3063ab8-7491-4b49-a25c-bc994fd4a93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d39d8994-05ca-4104-85c2-004f564dd1d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514D63-D7D8-4E88-BAAE-BDA3DCE144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C6899B-CCAD-49A5-AB6E-00F08671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10</Pages>
  <Words>3786</Words>
  <Characters>19906</Characters>
  <Application>Microsoft Office Word</Application>
  <DocSecurity>0</DocSecurity>
  <Lines>1531</Lines>
  <Paragraphs>1316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Sgammato, Adrienne</dc:creator>
  <cp:keywords/>
  <dc:description/>
  <cp:lastModifiedBy>Berger, Marc A</cp:lastModifiedBy>
  <cp:revision>564</cp:revision>
  <cp:lastPrinted>2021-04-27T19:22:00Z</cp:lastPrinted>
  <dcterms:created xsi:type="dcterms:W3CDTF">2021-03-29T21:29:00Z</dcterms:created>
  <dcterms:modified xsi:type="dcterms:W3CDTF">2021-04-27T19:44:00Z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0x0101009744BEF85E0D1448B09CBBDF249D3EC5</vt:lpwstr>
  </property>
</Properties>
</file>