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C644E" w14:textId="136EA5BA" w:rsidR="00B33B15" w:rsidRPr="0069426E" w:rsidRDefault="00B33B15" w:rsidP="00B33B15">
      <w:pPr>
        <w:pStyle w:val="Title"/>
        <w:spacing w:after="240"/>
        <w:rPr>
          <w:b/>
          <w:bCs/>
          <w:sz w:val="44"/>
          <w:szCs w:val="44"/>
        </w:rPr>
      </w:pPr>
      <w:r w:rsidRPr="6DC0D4B7">
        <w:rPr>
          <w:b/>
          <w:bCs/>
          <w:sz w:val="44"/>
          <w:szCs w:val="44"/>
        </w:rPr>
        <w:t xml:space="preserve">2024 NAEP </w:t>
      </w:r>
      <w:r>
        <w:rPr>
          <w:b/>
          <w:bCs/>
          <w:sz w:val="44"/>
          <w:szCs w:val="44"/>
        </w:rPr>
        <w:t xml:space="preserve">Digital </w:t>
      </w:r>
      <w:r w:rsidRPr="6DC0D4B7">
        <w:rPr>
          <w:b/>
          <w:bCs/>
          <w:sz w:val="44"/>
          <w:szCs w:val="44"/>
        </w:rPr>
        <w:t>Device Bridge Study</w:t>
      </w:r>
      <w:r>
        <w:rPr>
          <w:b/>
          <w:bCs/>
          <w:sz w:val="44"/>
          <w:szCs w:val="44"/>
        </w:rPr>
        <w:t xml:space="preserve"> for Science at Grade 8</w:t>
      </w:r>
    </w:p>
    <w:p w14:paraId="5B4569D9" w14:textId="68380B62" w:rsidR="00546153" w:rsidRDefault="2CFA1F08" w:rsidP="00546153">
      <w:r>
        <w:t xml:space="preserve">Beginning in 2019, the NAEP </w:t>
      </w:r>
      <w:r w:rsidR="006A0D2C">
        <w:t xml:space="preserve">science </w:t>
      </w:r>
      <w:r w:rsidR="00B33B15">
        <w:t xml:space="preserve">digitally based </w:t>
      </w:r>
      <w:r>
        <w:t xml:space="preserve">assessment was administered on NAEP-supplied devices (Microsoft Surface Pros [SP] tables with attached keyboards). In 2024, sampled students were assessed using either a NAEP-supplied SP or a NAEP-supplied Chromebook (CB). As with the previous NAEP assessment transitions from paper-based to digitally based assessments (see Jewsbury et al., 2020), a bridge study was designed and implemented for evaluating the effects of the change in assessment device from SP to CB. Bridge studies document and evaluate how trends on the core NAEP scales </w:t>
      </w:r>
      <w:r w:rsidR="23315072">
        <w:t>relate</w:t>
      </w:r>
      <w:r>
        <w:t xml:space="preserve"> to previously reported results. This report details the 2024 NAEP SP to CB bridge study design and device evaluation for the 2024 NAEP </w:t>
      </w:r>
      <w:r w:rsidR="006A0D2C">
        <w:t xml:space="preserve">science </w:t>
      </w:r>
      <w:r w:rsidR="001B7AA3">
        <w:t>g</w:t>
      </w:r>
      <w:r w:rsidR="00841C21">
        <w:t xml:space="preserve">rade 8 </w:t>
      </w:r>
      <w:r>
        <w:t xml:space="preserve">assessment. </w:t>
      </w:r>
    </w:p>
    <w:p w14:paraId="623252E7" w14:textId="77777777" w:rsidR="00546153" w:rsidRPr="00546153" w:rsidRDefault="00546153" w:rsidP="00546153"/>
    <w:p w14:paraId="3FB6EA34" w14:textId="77777777" w:rsidR="007E4C79" w:rsidRDefault="007E4C79" w:rsidP="007E4C79">
      <w:pPr>
        <w:spacing w:after="120"/>
        <w:rPr>
          <w:rFonts w:asciiTheme="majorHAnsi" w:hAnsiTheme="majorHAnsi" w:cstheme="majorHAnsi"/>
          <w:b/>
          <w:sz w:val="31"/>
          <w:szCs w:val="31"/>
        </w:rPr>
      </w:pPr>
      <w:r w:rsidRPr="00BA6A03">
        <w:rPr>
          <w:rFonts w:asciiTheme="majorHAnsi" w:hAnsiTheme="majorHAnsi" w:cstheme="majorHAnsi"/>
          <w:b/>
          <w:sz w:val="31"/>
          <w:szCs w:val="31"/>
        </w:rPr>
        <w:t>Bridge study design</w:t>
      </w:r>
    </w:p>
    <w:p w14:paraId="70AA0E05" w14:textId="4CE281DE" w:rsidR="002F2F5E" w:rsidRDefault="16D5DFB7" w:rsidP="00546153">
      <w:r>
        <w:t>The 2024 digital device bridge studies were designed in accordance with the principles historically employed by NAEP</w:t>
      </w:r>
      <w:r w:rsidR="170FD632">
        <w:t xml:space="preserve"> (e.g., Jewsbury et al., 2020). The 2024 NAEP science sample followed the usual NAEP school and student sampling procedure with a few additional features to accommodate the bridge study design. One key </w:t>
      </w:r>
      <w:r w:rsidR="41F96ADC">
        <w:t xml:space="preserve">design </w:t>
      </w:r>
      <w:r w:rsidR="170FD632">
        <w:t>component</w:t>
      </w:r>
      <w:r w:rsidR="3220AC07">
        <w:t xml:space="preserve"> for the 2024 NAEP science assessment</w:t>
      </w:r>
      <w:r w:rsidR="1EAB8FFB">
        <w:t xml:space="preserve"> at grade 8 was that SP and CB were systematically assigned to the sampled students within selected schools in a ratio of 13:12</w:t>
      </w:r>
      <w:r w:rsidR="52AD1CC8">
        <w:t>, where practical. Th</w:t>
      </w:r>
      <w:r w:rsidR="5B61A1E5">
        <w:t>is</w:t>
      </w:r>
      <w:r w:rsidR="52AD1CC8">
        <w:t xml:space="preserve"> design ensured comparability of the two random samples assessed using SP versus CB.</w:t>
      </w:r>
      <w:r w:rsidR="1F603839">
        <w:t xml:space="preserve"> Under</w:t>
      </w:r>
      <w:r w:rsidR="09AE25F4">
        <w:t xml:space="preserve"> this design, </w:t>
      </w:r>
      <w:r w:rsidR="35E89963">
        <w:t>just over half of the 2024 science sample took the assessment on the SP</w:t>
      </w:r>
      <w:r w:rsidR="560D15E7">
        <w:t>. This would a</w:t>
      </w:r>
      <w:r w:rsidR="6B24B177">
        <w:t>l</w:t>
      </w:r>
      <w:r w:rsidR="560D15E7">
        <w:t>low</w:t>
      </w:r>
      <w:r w:rsidR="6F918136">
        <w:t xml:space="preserve"> the continuation of trend reporting in the event that score comparability between SP and CB devices was not supported after linking the scale scores. </w:t>
      </w:r>
      <w:r w:rsidR="2A08FD0A">
        <w:t xml:space="preserve">The administration on both devices enables evaluation of the device transition impact at the </w:t>
      </w:r>
      <w:r w:rsidR="12BB1D62">
        <w:t xml:space="preserve">national level, and to potentially adjust the reporting metric for device transition effects. Including both devices also enables the potential of a combined SP and CB sample to </w:t>
      </w:r>
      <w:r w:rsidR="6F578E16">
        <w:t>be used</w:t>
      </w:r>
      <w:r w:rsidR="12BB1D62">
        <w:t xml:space="preserve"> as the basis for reporting on student performance and trends in 2024. </w:t>
      </w:r>
    </w:p>
    <w:p w14:paraId="1C74B4FB" w14:textId="15B9C694" w:rsidR="00546153" w:rsidRPr="00A927B7" w:rsidRDefault="00546153" w:rsidP="00546153">
      <w:r w:rsidRPr="00A927B7">
        <w:t>The bridge study was designed to (1) evaluate the comparability of item psychometric properties between devices; (2) allow for linking scores between device</w:t>
      </w:r>
      <w:r w:rsidR="00F51F49">
        <w:t xml:space="preserve"> condition</w:t>
      </w:r>
      <w:r w:rsidRPr="00A927B7">
        <w:t xml:space="preserve">s within and across years through the common item linking approach (if feasible); (3) enable alternative score linking (i.e., common population linking) through a random groups design and account for differences in device type if a device effect was present; and (4) evaluate the validity and fairness of the linking results across the range of student proficiency for major subgroups.   </w:t>
      </w:r>
    </w:p>
    <w:p w14:paraId="444FC1D9" w14:textId="2657357C" w:rsidR="00546153" w:rsidRPr="001F1CA7" w:rsidRDefault="00546153" w:rsidP="00546153">
      <w:r w:rsidRPr="001F1CA7">
        <w:t>The assessment w</w:t>
      </w:r>
      <w:r w:rsidR="001F1CA7" w:rsidRPr="001F1CA7">
        <w:t>as</w:t>
      </w:r>
      <w:r w:rsidRPr="001F1CA7">
        <w:t xml:space="preserve"> identical in terms of items, timing, and administration procedures regardless of device. However, there were several differences in technical specifications for the two device types (i.e., input modality, screen size, and aspect ratio; see Table 1).</w:t>
      </w:r>
    </w:p>
    <w:p w14:paraId="0FE2FF75" w14:textId="77777777" w:rsidR="0096644E" w:rsidRDefault="0096644E" w:rsidP="00546153">
      <w:r>
        <w:br w:type="page"/>
      </w:r>
    </w:p>
    <w:p w14:paraId="3849F753" w14:textId="4BB870E1" w:rsidR="00546153" w:rsidRPr="00546153" w:rsidRDefault="00546153" w:rsidP="00546153">
      <w:r w:rsidRPr="00546153">
        <w:t xml:space="preserve">Table 1. </w:t>
      </w:r>
      <w:r w:rsidRPr="00A21DE7">
        <w:t xml:space="preserve">Device </w:t>
      </w:r>
      <w:r w:rsidR="00EB02F8">
        <w:t>s</w:t>
      </w:r>
      <w:r w:rsidRPr="00A21DE7">
        <w:t xml:space="preserve">pecifications for NAEP 2024 </w:t>
      </w:r>
      <w:r w:rsidR="00EB02F8">
        <w:t>a</w:t>
      </w:r>
      <w:r w:rsidRPr="00A21DE7">
        <w:t>ssessments</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94"/>
        <w:gridCol w:w="4064"/>
        <w:gridCol w:w="3622"/>
      </w:tblGrid>
      <w:tr w:rsidR="00546153" w:rsidRPr="00546153" w14:paraId="407617EF" w14:textId="77777777" w:rsidTr="00546153">
        <w:trPr>
          <w:trHeight w:val="300"/>
        </w:trPr>
        <w:tc>
          <w:tcPr>
            <w:tcW w:w="1794" w:type="dxa"/>
            <w:tcBorders>
              <w:top w:val="single" w:sz="4" w:space="0" w:color="auto"/>
              <w:left w:val="single" w:sz="4" w:space="0" w:color="auto"/>
              <w:bottom w:val="single" w:sz="4" w:space="0" w:color="auto"/>
              <w:right w:val="single" w:sz="4" w:space="0" w:color="auto"/>
            </w:tcBorders>
            <w:vAlign w:val="center"/>
            <w:hideMark/>
          </w:tcPr>
          <w:p w14:paraId="08A1EE97" w14:textId="77777777" w:rsidR="00546153" w:rsidRPr="00546153" w:rsidRDefault="00546153" w:rsidP="00546153">
            <w:pPr>
              <w:rPr>
                <w:b/>
                <w:bCs/>
              </w:rPr>
            </w:pPr>
            <w:r w:rsidRPr="00546153">
              <w:rPr>
                <w:b/>
                <w:bCs/>
              </w:rPr>
              <w:t>Specification</w:t>
            </w:r>
          </w:p>
        </w:tc>
        <w:tc>
          <w:tcPr>
            <w:tcW w:w="4064" w:type="dxa"/>
            <w:tcBorders>
              <w:top w:val="single" w:sz="4" w:space="0" w:color="auto"/>
              <w:left w:val="single" w:sz="4" w:space="0" w:color="auto"/>
              <w:bottom w:val="single" w:sz="4" w:space="0" w:color="auto"/>
              <w:right w:val="single" w:sz="4" w:space="0" w:color="auto"/>
            </w:tcBorders>
            <w:vAlign w:val="center"/>
            <w:hideMark/>
          </w:tcPr>
          <w:p w14:paraId="474ADC9D" w14:textId="77777777" w:rsidR="00546153" w:rsidRPr="00546153" w:rsidRDefault="00546153" w:rsidP="0096644E">
            <w:pPr>
              <w:jc w:val="center"/>
              <w:rPr>
                <w:b/>
                <w:bCs/>
              </w:rPr>
            </w:pPr>
            <w:r w:rsidRPr="00546153">
              <w:rPr>
                <w:b/>
                <w:bCs/>
              </w:rPr>
              <w:t>Surface Pros (SP)</w:t>
            </w:r>
          </w:p>
        </w:tc>
        <w:tc>
          <w:tcPr>
            <w:tcW w:w="3622" w:type="dxa"/>
            <w:tcBorders>
              <w:top w:val="single" w:sz="4" w:space="0" w:color="auto"/>
              <w:left w:val="single" w:sz="4" w:space="0" w:color="auto"/>
              <w:bottom w:val="single" w:sz="4" w:space="0" w:color="auto"/>
              <w:right w:val="single" w:sz="4" w:space="0" w:color="auto"/>
            </w:tcBorders>
            <w:vAlign w:val="center"/>
            <w:hideMark/>
          </w:tcPr>
          <w:p w14:paraId="1DFE50FF" w14:textId="77777777" w:rsidR="00546153" w:rsidRPr="00546153" w:rsidRDefault="00546153" w:rsidP="0096644E">
            <w:pPr>
              <w:jc w:val="center"/>
              <w:rPr>
                <w:b/>
                <w:bCs/>
              </w:rPr>
            </w:pPr>
            <w:r w:rsidRPr="00546153">
              <w:rPr>
                <w:b/>
                <w:bCs/>
              </w:rPr>
              <w:t>Chromebooks (CB)</w:t>
            </w:r>
          </w:p>
        </w:tc>
      </w:tr>
      <w:tr w:rsidR="00546153" w:rsidRPr="00546153" w14:paraId="1076003D" w14:textId="77777777" w:rsidTr="00546153">
        <w:trPr>
          <w:trHeight w:val="600"/>
        </w:trPr>
        <w:tc>
          <w:tcPr>
            <w:tcW w:w="1794" w:type="dxa"/>
            <w:tcBorders>
              <w:top w:val="single" w:sz="4" w:space="0" w:color="auto"/>
              <w:left w:val="single" w:sz="4" w:space="0" w:color="auto"/>
              <w:bottom w:val="single" w:sz="4" w:space="0" w:color="auto"/>
              <w:right w:val="single" w:sz="4" w:space="0" w:color="auto"/>
            </w:tcBorders>
            <w:vAlign w:val="center"/>
            <w:hideMark/>
          </w:tcPr>
          <w:p w14:paraId="0D8108BD" w14:textId="29668CCF" w:rsidR="00546153" w:rsidRPr="00546153" w:rsidRDefault="00546153" w:rsidP="00546153">
            <w:r w:rsidRPr="00546153">
              <w:t xml:space="preserve">Input </w:t>
            </w:r>
            <w:r w:rsidR="00EB02F8">
              <w:t>m</w:t>
            </w:r>
            <w:r w:rsidRPr="00546153">
              <w:t>odalities</w:t>
            </w:r>
          </w:p>
        </w:tc>
        <w:tc>
          <w:tcPr>
            <w:tcW w:w="4064" w:type="dxa"/>
            <w:tcBorders>
              <w:top w:val="single" w:sz="4" w:space="0" w:color="auto"/>
              <w:left w:val="single" w:sz="4" w:space="0" w:color="auto"/>
              <w:bottom w:val="single" w:sz="4" w:space="0" w:color="auto"/>
              <w:right w:val="single" w:sz="4" w:space="0" w:color="auto"/>
            </w:tcBorders>
            <w:vAlign w:val="center"/>
            <w:hideMark/>
          </w:tcPr>
          <w:p w14:paraId="2A38F721" w14:textId="15A1D6EB" w:rsidR="00546153" w:rsidRPr="00546153" w:rsidRDefault="00546153" w:rsidP="0096644E">
            <w:pPr>
              <w:jc w:val="center"/>
            </w:pPr>
            <w:r w:rsidRPr="00546153">
              <w:t xml:space="preserve">Touchscreen, </w:t>
            </w:r>
            <w:r w:rsidR="002166F0">
              <w:t>t</w:t>
            </w:r>
            <w:r w:rsidRPr="00546153">
              <w:t xml:space="preserve">rackpad, </w:t>
            </w:r>
            <w:r w:rsidR="002166F0">
              <w:t>k</w:t>
            </w:r>
            <w:r w:rsidRPr="00546153">
              <w:t xml:space="preserve">eyboard, </w:t>
            </w:r>
            <w:r w:rsidR="002166F0">
              <w:t>s</w:t>
            </w:r>
            <w:r w:rsidRPr="00546153">
              <w:t>tylus</w:t>
            </w:r>
          </w:p>
        </w:tc>
        <w:tc>
          <w:tcPr>
            <w:tcW w:w="3622" w:type="dxa"/>
            <w:tcBorders>
              <w:top w:val="single" w:sz="4" w:space="0" w:color="auto"/>
              <w:left w:val="single" w:sz="4" w:space="0" w:color="auto"/>
              <w:bottom w:val="single" w:sz="4" w:space="0" w:color="auto"/>
              <w:right w:val="single" w:sz="4" w:space="0" w:color="auto"/>
            </w:tcBorders>
            <w:vAlign w:val="center"/>
            <w:hideMark/>
          </w:tcPr>
          <w:p w14:paraId="666D76DE" w14:textId="7A7C8275" w:rsidR="00546153" w:rsidRPr="00546153" w:rsidRDefault="00546153" w:rsidP="0096644E">
            <w:pPr>
              <w:jc w:val="center"/>
            </w:pPr>
            <w:r w:rsidRPr="00546153">
              <w:t xml:space="preserve">Touchscreen, </w:t>
            </w:r>
            <w:r w:rsidR="002166F0">
              <w:t>t</w:t>
            </w:r>
            <w:r w:rsidRPr="00546153">
              <w:t xml:space="preserve">rackpad, </w:t>
            </w:r>
            <w:r w:rsidR="002166F0">
              <w:t>k</w:t>
            </w:r>
            <w:r w:rsidRPr="00546153">
              <w:t>eyboard</w:t>
            </w:r>
          </w:p>
        </w:tc>
      </w:tr>
      <w:tr w:rsidR="00546153" w:rsidRPr="00546153" w14:paraId="5AC7CC32" w14:textId="77777777" w:rsidTr="00546153">
        <w:trPr>
          <w:trHeight w:val="300"/>
        </w:trPr>
        <w:tc>
          <w:tcPr>
            <w:tcW w:w="1794" w:type="dxa"/>
            <w:vMerge w:val="restart"/>
            <w:tcBorders>
              <w:top w:val="single" w:sz="4" w:space="0" w:color="auto"/>
              <w:left w:val="single" w:sz="4" w:space="0" w:color="auto"/>
              <w:bottom w:val="single" w:sz="4" w:space="0" w:color="auto"/>
              <w:right w:val="single" w:sz="4" w:space="0" w:color="auto"/>
            </w:tcBorders>
            <w:vAlign w:val="center"/>
            <w:hideMark/>
          </w:tcPr>
          <w:p w14:paraId="19F3D29E" w14:textId="77777777" w:rsidR="00546153" w:rsidRPr="00546153" w:rsidRDefault="00546153" w:rsidP="00546153">
            <w:r w:rsidRPr="00546153">
              <w:t>Screen size</w:t>
            </w:r>
            <w:r w:rsidRPr="00546153">
              <w:rPr>
                <w:vertAlign w:val="superscript"/>
              </w:rPr>
              <w:footnoteReference w:id="2"/>
            </w:r>
          </w:p>
        </w:tc>
        <w:tc>
          <w:tcPr>
            <w:tcW w:w="4064" w:type="dxa"/>
            <w:tcBorders>
              <w:top w:val="single" w:sz="4" w:space="0" w:color="auto"/>
              <w:left w:val="single" w:sz="4" w:space="0" w:color="auto"/>
              <w:bottom w:val="single" w:sz="4" w:space="0" w:color="auto"/>
              <w:right w:val="single" w:sz="4" w:space="0" w:color="auto"/>
            </w:tcBorders>
            <w:vAlign w:val="center"/>
            <w:hideMark/>
          </w:tcPr>
          <w:p w14:paraId="39E3C28D" w14:textId="77777777" w:rsidR="00546153" w:rsidRPr="00546153" w:rsidRDefault="00546153" w:rsidP="0096644E">
            <w:pPr>
              <w:jc w:val="center"/>
            </w:pPr>
            <w:r w:rsidRPr="00546153">
              <w:t>12"</w:t>
            </w:r>
          </w:p>
        </w:tc>
        <w:tc>
          <w:tcPr>
            <w:tcW w:w="3622" w:type="dxa"/>
            <w:vMerge w:val="restart"/>
            <w:tcBorders>
              <w:top w:val="single" w:sz="4" w:space="0" w:color="auto"/>
              <w:left w:val="single" w:sz="4" w:space="0" w:color="auto"/>
              <w:bottom w:val="single" w:sz="4" w:space="0" w:color="auto"/>
              <w:right w:val="single" w:sz="4" w:space="0" w:color="auto"/>
            </w:tcBorders>
            <w:vAlign w:val="center"/>
            <w:hideMark/>
          </w:tcPr>
          <w:p w14:paraId="71AB7C2D" w14:textId="77777777" w:rsidR="00546153" w:rsidRPr="00546153" w:rsidRDefault="00546153" w:rsidP="0096644E">
            <w:pPr>
              <w:jc w:val="center"/>
            </w:pPr>
            <w:r w:rsidRPr="00546153">
              <w:t>11.6"</w:t>
            </w:r>
          </w:p>
        </w:tc>
      </w:tr>
      <w:tr w:rsidR="00546153" w:rsidRPr="00546153" w14:paraId="052E3936" w14:textId="77777777" w:rsidTr="0054615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19220" w14:textId="77777777" w:rsidR="00546153" w:rsidRPr="00546153" w:rsidRDefault="00546153" w:rsidP="00546153"/>
        </w:tc>
        <w:tc>
          <w:tcPr>
            <w:tcW w:w="4064" w:type="dxa"/>
            <w:tcBorders>
              <w:top w:val="single" w:sz="4" w:space="0" w:color="auto"/>
              <w:left w:val="single" w:sz="4" w:space="0" w:color="auto"/>
              <w:bottom w:val="single" w:sz="4" w:space="0" w:color="auto"/>
              <w:right w:val="single" w:sz="4" w:space="0" w:color="auto"/>
            </w:tcBorders>
            <w:vAlign w:val="center"/>
            <w:hideMark/>
          </w:tcPr>
          <w:p w14:paraId="777FA80B" w14:textId="77777777" w:rsidR="00546153" w:rsidRPr="00546153" w:rsidRDefault="00546153" w:rsidP="0096644E">
            <w:pPr>
              <w:jc w:val="center"/>
            </w:pPr>
            <w:r w:rsidRPr="00546153">
              <w:t>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EA6B4" w14:textId="77777777" w:rsidR="00546153" w:rsidRPr="00546153" w:rsidRDefault="00546153" w:rsidP="0096644E">
            <w:pPr>
              <w:jc w:val="center"/>
            </w:pPr>
          </w:p>
        </w:tc>
      </w:tr>
      <w:tr w:rsidR="00546153" w:rsidRPr="00546153" w14:paraId="0395B327" w14:textId="77777777" w:rsidTr="00546153">
        <w:trPr>
          <w:trHeight w:val="287"/>
        </w:trPr>
        <w:tc>
          <w:tcPr>
            <w:tcW w:w="1794" w:type="dxa"/>
            <w:tcBorders>
              <w:top w:val="single" w:sz="4" w:space="0" w:color="auto"/>
              <w:left w:val="single" w:sz="4" w:space="0" w:color="auto"/>
              <w:bottom w:val="single" w:sz="4" w:space="0" w:color="auto"/>
              <w:right w:val="single" w:sz="4" w:space="0" w:color="auto"/>
            </w:tcBorders>
            <w:vAlign w:val="center"/>
            <w:hideMark/>
          </w:tcPr>
          <w:p w14:paraId="59557CCB" w14:textId="77777777" w:rsidR="00546153" w:rsidRPr="00546153" w:rsidRDefault="00546153" w:rsidP="00546153">
            <w:r w:rsidRPr="00546153">
              <w:t>Aspect ratio</w:t>
            </w:r>
          </w:p>
        </w:tc>
        <w:tc>
          <w:tcPr>
            <w:tcW w:w="4064" w:type="dxa"/>
            <w:tcBorders>
              <w:top w:val="single" w:sz="4" w:space="0" w:color="auto"/>
              <w:left w:val="single" w:sz="4" w:space="0" w:color="auto"/>
              <w:bottom w:val="single" w:sz="4" w:space="0" w:color="auto"/>
              <w:right w:val="single" w:sz="4" w:space="0" w:color="auto"/>
            </w:tcBorders>
            <w:vAlign w:val="center"/>
            <w:hideMark/>
          </w:tcPr>
          <w:p w14:paraId="3FA17015" w14:textId="77777777" w:rsidR="00546153" w:rsidRPr="00546153" w:rsidRDefault="00546153" w:rsidP="0096644E">
            <w:pPr>
              <w:jc w:val="center"/>
            </w:pPr>
            <w:r w:rsidRPr="00546153">
              <w:t>3:2</w:t>
            </w:r>
          </w:p>
        </w:tc>
        <w:tc>
          <w:tcPr>
            <w:tcW w:w="3622" w:type="dxa"/>
            <w:tcBorders>
              <w:top w:val="single" w:sz="4" w:space="0" w:color="auto"/>
              <w:left w:val="single" w:sz="4" w:space="0" w:color="auto"/>
              <w:bottom w:val="single" w:sz="4" w:space="0" w:color="auto"/>
              <w:right w:val="single" w:sz="4" w:space="0" w:color="auto"/>
            </w:tcBorders>
            <w:vAlign w:val="center"/>
            <w:hideMark/>
          </w:tcPr>
          <w:p w14:paraId="2F55A488" w14:textId="77777777" w:rsidR="00546153" w:rsidRPr="00546153" w:rsidRDefault="00546153" w:rsidP="0096644E">
            <w:pPr>
              <w:jc w:val="center"/>
            </w:pPr>
            <w:r w:rsidRPr="00546153">
              <w:t>16:9</w:t>
            </w:r>
          </w:p>
        </w:tc>
      </w:tr>
    </w:tbl>
    <w:p w14:paraId="2106860F" w14:textId="77777777" w:rsidR="00546153" w:rsidRPr="00546153" w:rsidRDefault="00546153" w:rsidP="00546153">
      <w:pPr>
        <w:rPr>
          <w:b/>
          <w:bCs/>
        </w:rPr>
      </w:pPr>
    </w:p>
    <w:p w14:paraId="1251AB58" w14:textId="77777777" w:rsidR="00546153" w:rsidRPr="00546153" w:rsidRDefault="00546153" w:rsidP="00546153"/>
    <w:p w14:paraId="7C969422" w14:textId="77777777" w:rsidR="009F4453" w:rsidRPr="00BA6A03" w:rsidRDefault="009F4453" w:rsidP="009F4453">
      <w:pPr>
        <w:spacing w:before="100" w:beforeAutospacing="1" w:after="0"/>
        <w:rPr>
          <w:rFonts w:asciiTheme="majorHAnsi" w:hAnsiTheme="majorHAnsi" w:cstheme="majorHAnsi"/>
          <w:b/>
          <w:sz w:val="31"/>
          <w:szCs w:val="31"/>
        </w:rPr>
      </w:pPr>
      <w:r w:rsidRPr="00BA6A03">
        <w:rPr>
          <w:rFonts w:asciiTheme="majorHAnsi" w:hAnsiTheme="majorHAnsi" w:cstheme="majorHAnsi"/>
          <w:b/>
          <w:sz w:val="31"/>
          <w:szCs w:val="31"/>
        </w:rPr>
        <w:t>Analysis procedures</w:t>
      </w:r>
    </w:p>
    <w:p w14:paraId="37BDC900" w14:textId="77777777" w:rsidR="009F4453" w:rsidRDefault="009F4453" w:rsidP="009F4453">
      <w:pPr>
        <w:spacing w:after="0"/>
        <w:rPr>
          <w:rFonts w:asciiTheme="majorHAnsi" w:hAnsiTheme="majorHAnsi" w:cstheme="majorBidi"/>
          <w:b/>
          <w:color w:val="1F3762"/>
          <w:sz w:val="24"/>
          <w:szCs w:val="24"/>
        </w:rPr>
      </w:pPr>
      <w:r w:rsidRPr="763F6ADF">
        <w:rPr>
          <w:rFonts w:asciiTheme="majorHAnsi" w:hAnsiTheme="majorHAnsi" w:cstheme="majorBidi"/>
          <w:b/>
          <w:color w:val="1F3762"/>
          <w:sz w:val="24"/>
          <w:szCs w:val="24"/>
        </w:rPr>
        <w:t>Within</w:t>
      </w:r>
      <w:r w:rsidRPr="1E729BA7">
        <w:rPr>
          <w:rFonts w:asciiTheme="majorHAnsi" w:hAnsiTheme="majorHAnsi" w:cstheme="majorBidi"/>
          <w:b/>
          <w:bCs/>
          <w:color w:val="1F3762"/>
          <w:sz w:val="24"/>
          <w:szCs w:val="24"/>
        </w:rPr>
        <w:t>-</w:t>
      </w:r>
      <w:r w:rsidRPr="763F6ADF">
        <w:rPr>
          <w:rFonts w:asciiTheme="majorHAnsi" w:hAnsiTheme="majorHAnsi" w:cstheme="majorBidi"/>
          <w:b/>
          <w:color w:val="1F3762"/>
          <w:sz w:val="24"/>
          <w:szCs w:val="24"/>
        </w:rPr>
        <w:t>2024 Device Evaluation Summary</w:t>
      </w:r>
    </w:p>
    <w:p w14:paraId="0145146B" w14:textId="090050BB" w:rsidR="00546153" w:rsidRPr="00546153" w:rsidRDefault="2CFA1F08" w:rsidP="00546153">
      <w:r>
        <w:t xml:space="preserve">To place the proficiency estimates from the 2024 assessment onto the </w:t>
      </w:r>
      <w:r w:rsidR="5AD1D3C0">
        <w:t xml:space="preserve">existing </w:t>
      </w:r>
      <w:r>
        <w:t>trend line, the bridge study design allows for the typical NAEP procedure of common item linking in which the current assessment shares between 70 and 80 percent of the items in common with the previous assessment. By assuming these common items would generally maintain their psychometric properties across assessments in adjacent administrations, a two-group concurrent Item Response Theory (IRT) calibration is used to scale all the items while holding the IRT parameters of the common items equal between the two assessments. However, prior to the adjacent</w:t>
      </w:r>
      <w:r w:rsidR="363AD45E">
        <w:t>-</w:t>
      </w:r>
      <w:r>
        <w:t xml:space="preserve">administration common item linking, it was first necessary to determine the within-2024 linking procedure in which the CB sample </w:t>
      </w:r>
      <w:r w:rsidR="1C056FEA">
        <w:t>wa</w:t>
      </w:r>
      <w:r>
        <w:t xml:space="preserve">s linked to the SP sample. For the </w:t>
      </w:r>
      <w:r w:rsidR="0942A486">
        <w:t>science</w:t>
      </w:r>
      <w:r>
        <w:t xml:space="preserve"> assessment at grade 8, an evaluation based on observed statistics and IRT modeling showed little practical evidence of device differences in psychometric properties</w:t>
      </w:r>
      <w:r w:rsidR="50A190DF">
        <w:t xml:space="preserve">. </w:t>
      </w:r>
      <w:r w:rsidR="00BF3AB1">
        <w:t>Therefore, a</w:t>
      </w:r>
      <w:r>
        <w:t>nalysis proceeded with the common item linking approach</w:t>
      </w:r>
      <w:r w:rsidR="19D368D1">
        <w:t xml:space="preserve"> across devices</w:t>
      </w:r>
      <w:r>
        <w:t>. The 2024 NAEP performance was reported using the combined SP and CB sample.</w:t>
      </w:r>
    </w:p>
    <w:p w14:paraId="522CFB7A" w14:textId="77777777" w:rsidR="00546153" w:rsidRPr="00546153" w:rsidRDefault="00546153" w:rsidP="00546153"/>
    <w:p w14:paraId="635815F4" w14:textId="77777777" w:rsidR="00751DAE" w:rsidRDefault="00751DAE" w:rsidP="00751DAE">
      <w:pPr>
        <w:spacing w:after="0"/>
        <w:rPr>
          <w:rFonts w:asciiTheme="majorHAnsi" w:hAnsiTheme="majorHAnsi" w:cstheme="majorHAnsi"/>
          <w:b/>
          <w:color w:val="1F3762"/>
          <w:sz w:val="24"/>
        </w:rPr>
      </w:pPr>
      <w:r w:rsidRPr="00FD1544">
        <w:rPr>
          <w:rFonts w:asciiTheme="majorHAnsi" w:hAnsiTheme="majorHAnsi" w:cstheme="majorHAnsi"/>
          <w:b/>
          <w:color w:val="1F3762"/>
          <w:sz w:val="24"/>
        </w:rPr>
        <w:t>Error variance estimation</w:t>
      </w:r>
    </w:p>
    <w:p w14:paraId="272ADE3D" w14:textId="1B6F6353" w:rsidR="00414DA4" w:rsidRDefault="198629CE" w:rsidP="00546153">
      <w:r>
        <w:t xml:space="preserve">When evaluating grade 8 trend between the 2024 Surface Pro and Chromebook combined sample and </w:t>
      </w:r>
      <w:r w:rsidR="73DE5D2D">
        <w:t xml:space="preserve">previous paper-based assessments </w:t>
      </w:r>
      <w:r w:rsidR="234DF126">
        <w:t xml:space="preserve">(PBA) in 2015, 2011, and 2009, as well as comparisons to the most recent combined </w:t>
      </w:r>
      <w:r w:rsidR="0B657432">
        <w:t>2019 PBA + digitally-based assessment (DBA) assessment</w:t>
      </w:r>
      <w:r w:rsidR="3E68FF20">
        <w:t xml:space="preserve">, a linking error correction term was </w:t>
      </w:r>
      <w:r w:rsidR="1EA02149">
        <w:t xml:space="preserve">included to compute the variance estimates for the trend comparisons. </w:t>
      </w:r>
      <w:r w:rsidR="2A26A6FE">
        <w:t>The</w:t>
      </w:r>
      <w:r w:rsidR="74BC08D5">
        <w:t xml:space="preserve"> overall error accounts for measurement error, sampling error and linking error. </w:t>
      </w:r>
      <w:r w:rsidR="651F322A">
        <w:t xml:space="preserve">Measurement and sampling error variance estimates follow the NAEP conventional two-part </w:t>
      </w:r>
      <w:r w:rsidR="62919FDF">
        <w:t xml:space="preserve">variance estimation </w:t>
      </w:r>
      <w:r w:rsidR="651F322A">
        <w:t>procedur</w:t>
      </w:r>
      <w:r w:rsidR="732786C4">
        <w:t xml:space="preserve">e. </w:t>
      </w:r>
    </w:p>
    <w:p w14:paraId="38EE637E" w14:textId="77777777" w:rsidR="00414DA4" w:rsidRDefault="00414DA4" w:rsidP="00546153"/>
    <w:p w14:paraId="3284B082" w14:textId="77777777" w:rsidR="002B0916" w:rsidRPr="00FD1544" w:rsidRDefault="002B0916" w:rsidP="002B0916">
      <w:pPr>
        <w:spacing w:after="120"/>
        <w:rPr>
          <w:rFonts w:asciiTheme="majorHAnsi" w:hAnsiTheme="majorHAnsi" w:cstheme="majorHAnsi"/>
          <w:b/>
          <w:sz w:val="31"/>
          <w:szCs w:val="31"/>
        </w:rPr>
      </w:pPr>
      <w:r w:rsidRPr="00FD1544">
        <w:rPr>
          <w:rFonts w:asciiTheme="majorHAnsi" w:hAnsiTheme="majorHAnsi" w:cstheme="majorHAnsi"/>
          <w:b/>
          <w:sz w:val="31"/>
          <w:szCs w:val="31"/>
        </w:rPr>
        <w:t xml:space="preserve">Impact of </w:t>
      </w:r>
      <w:r>
        <w:rPr>
          <w:rFonts w:asciiTheme="majorHAnsi" w:hAnsiTheme="majorHAnsi" w:cstheme="majorHAnsi"/>
          <w:b/>
          <w:sz w:val="31"/>
          <w:szCs w:val="31"/>
        </w:rPr>
        <w:t>device</w:t>
      </w:r>
      <w:r w:rsidRPr="00FD1544">
        <w:rPr>
          <w:rFonts w:asciiTheme="majorHAnsi" w:hAnsiTheme="majorHAnsi" w:cstheme="majorHAnsi"/>
          <w:b/>
          <w:sz w:val="31"/>
          <w:szCs w:val="31"/>
        </w:rPr>
        <w:t xml:space="preserve"> on item-level </w:t>
      </w:r>
      <w:r>
        <w:rPr>
          <w:rFonts w:asciiTheme="majorHAnsi" w:hAnsiTheme="majorHAnsi" w:cstheme="majorHAnsi"/>
          <w:b/>
          <w:sz w:val="31"/>
          <w:szCs w:val="31"/>
        </w:rPr>
        <w:t xml:space="preserve">psychometric </w:t>
      </w:r>
      <w:r w:rsidRPr="00FD1544">
        <w:rPr>
          <w:rFonts w:asciiTheme="majorHAnsi" w:hAnsiTheme="majorHAnsi" w:cstheme="majorHAnsi"/>
          <w:b/>
          <w:sz w:val="31"/>
          <w:szCs w:val="31"/>
        </w:rPr>
        <w:t>properties</w:t>
      </w:r>
    </w:p>
    <w:p w14:paraId="69699580" w14:textId="568146D6" w:rsidR="00546153" w:rsidRPr="00762D58" w:rsidRDefault="2CFA1F08" w:rsidP="00546153">
      <w:r w:rsidRPr="00546153">
        <w:t xml:space="preserve">To evaluate the impact of device type on the item-level psychometric properties, multiple item-level statistics from both a classical test theory (CTT) and an IRT framework were compared. Because students assessed on SP and CB were randomly equivalent samples selected from a common population and the identical assessments were given to both samples, differences on the item-level statistics that were compared would reflect differences due to device types and/or margin of error due to uncertainty in sampling and latency </w:t>
      </w:r>
      <w:r w:rsidR="272233D3" w:rsidRPr="00546153">
        <w:t xml:space="preserve">of science proficiency, </w:t>
      </w:r>
      <w:r w:rsidRPr="00546153">
        <w:t xml:space="preserve">rather than population differences. Table 2 compares the overall mean item score averaged across all items within each content area for </w:t>
      </w:r>
      <w:r w:rsidR="1027A39E">
        <w:t>science</w:t>
      </w:r>
      <w:r w:rsidRPr="00546153">
        <w:t xml:space="preserve"> between the SP and CB device types.</w:t>
      </w:r>
      <w:r w:rsidR="00546153" w:rsidRPr="00546153">
        <w:rPr>
          <w:vertAlign w:val="superscript"/>
        </w:rPr>
        <w:footnoteReference w:id="3"/>
      </w:r>
      <w:r w:rsidRPr="00546153">
        <w:t xml:space="preserve"> The difference between the two mean item scores is also listed under a separate column named “SP-CB,” with the standard error (SE) of the difference in the last </w:t>
      </w:r>
      <w:r w:rsidRPr="00762D58">
        <w:t>column. None of the mean item differences were statistically significant.</w:t>
      </w:r>
    </w:p>
    <w:p w14:paraId="12994E5B" w14:textId="77777777" w:rsidR="00546153" w:rsidRPr="00546153" w:rsidRDefault="00546153" w:rsidP="00546153"/>
    <w:p w14:paraId="1E5FC065" w14:textId="394ACD0C" w:rsidR="00546153" w:rsidRPr="00546153" w:rsidRDefault="00546153" w:rsidP="00546153">
      <w:r w:rsidRPr="00546153">
        <w:t xml:space="preserve">Table 2. Overall weighted mean item score comparison between Surface Pro (SP) and Chromebook (CB) for the </w:t>
      </w:r>
      <w:r w:rsidR="000D660B">
        <w:t xml:space="preserve">grade 8 </w:t>
      </w:r>
      <w:r w:rsidR="00242891">
        <w:t>science overall</w:t>
      </w:r>
      <w:r w:rsidRPr="00546153">
        <w:t xml:space="preserve"> scale and subscales: 2024</w:t>
      </w:r>
      <w:r w:rsidR="000D660B">
        <w:t xml:space="preserve"> </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320"/>
        <w:gridCol w:w="885"/>
        <w:gridCol w:w="1245"/>
        <w:gridCol w:w="1373"/>
        <w:gridCol w:w="851"/>
      </w:tblGrid>
      <w:tr w:rsidR="00407F5E" w:rsidRPr="00546153" w14:paraId="7ADB28E5" w14:textId="77777777" w:rsidTr="00137D86">
        <w:trPr>
          <w:trHeight w:val="288"/>
        </w:trPr>
        <w:tc>
          <w:tcPr>
            <w:tcW w:w="3525" w:type="dxa"/>
            <w:noWrap/>
            <w:vAlign w:val="center"/>
            <w:hideMark/>
          </w:tcPr>
          <w:p w14:paraId="5F6EC677" w14:textId="10A84BE9" w:rsidR="00407F5E" w:rsidRPr="0096644E" w:rsidRDefault="00364E6D" w:rsidP="00546153">
            <w:pPr>
              <w:rPr>
                <w:b/>
                <w:bCs/>
              </w:rPr>
            </w:pPr>
            <w:r>
              <w:rPr>
                <w:b/>
                <w:bCs/>
              </w:rPr>
              <w:t>Scal</w:t>
            </w:r>
            <w:r w:rsidR="000A6471">
              <w:rPr>
                <w:b/>
                <w:bCs/>
              </w:rPr>
              <w:t>e</w:t>
            </w:r>
          </w:p>
        </w:tc>
        <w:tc>
          <w:tcPr>
            <w:tcW w:w="1320" w:type="dxa"/>
            <w:noWrap/>
            <w:vAlign w:val="center"/>
            <w:hideMark/>
          </w:tcPr>
          <w:p w14:paraId="37C0A803" w14:textId="77777777" w:rsidR="00407F5E" w:rsidRPr="0096644E" w:rsidRDefault="00407F5E" w:rsidP="00673711">
            <w:pPr>
              <w:jc w:val="center"/>
              <w:rPr>
                <w:b/>
                <w:bCs/>
              </w:rPr>
            </w:pPr>
            <w:r w:rsidRPr="0096644E">
              <w:rPr>
                <w:b/>
                <w:bCs/>
              </w:rPr>
              <w:t>Number of items</w:t>
            </w:r>
          </w:p>
        </w:tc>
        <w:tc>
          <w:tcPr>
            <w:tcW w:w="885" w:type="dxa"/>
            <w:noWrap/>
            <w:vAlign w:val="center"/>
            <w:hideMark/>
          </w:tcPr>
          <w:p w14:paraId="74FA3A54" w14:textId="22C8DE36" w:rsidR="00407F5E" w:rsidRPr="0096644E" w:rsidRDefault="00407F5E" w:rsidP="00673711">
            <w:pPr>
              <w:jc w:val="center"/>
              <w:rPr>
                <w:b/>
                <w:bCs/>
              </w:rPr>
            </w:pPr>
            <w:r w:rsidRPr="0096644E">
              <w:rPr>
                <w:b/>
                <w:bCs/>
              </w:rPr>
              <w:t>SP</w:t>
            </w:r>
          </w:p>
        </w:tc>
        <w:tc>
          <w:tcPr>
            <w:tcW w:w="1245" w:type="dxa"/>
            <w:noWrap/>
            <w:vAlign w:val="center"/>
            <w:hideMark/>
          </w:tcPr>
          <w:p w14:paraId="3E9C8E0B" w14:textId="77777777" w:rsidR="00407F5E" w:rsidRPr="0096644E" w:rsidRDefault="00407F5E" w:rsidP="00673711">
            <w:pPr>
              <w:jc w:val="center"/>
              <w:rPr>
                <w:b/>
                <w:bCs/>
              </w:rPr>
            </w:pPr>
            <w:r w:rsidRPr="0096644E">
              <w:rPr>
                <w:b/>
                <w:bCs/>
              </w:rPr>
              <w:t>CB</w:t>
            </w:r>
          </w:p>
        </w:tc>
        <w:tc>
          <w:tcPr>
            <w:tcW w:w="1373" w:type="dxa"/>
            <w:noWrap/>
            <w:vAlign w:val="center"/>
            <w:hideMark/>
          </w:tcPr>
          <w:p w14:paraId="17021AA2" w14:textId="77777777" w:rsidR="00407F5E" w:rsidRPr="0096644E" w:rsidRDefault="00407F5E" w:rsidP="00673711">
            <w:pPr>
              <w:jc w:val="center"/>
              <w:rPr>
                <w:b/>
                <w:bCs/>
              </w:rPr>
            </w:pPr>
            <w:r w:rsidRPr="0096644E">
              <w:rPr>
                <w:b/>
                <w:bCs/>
              </w:rPr>
              <w:t>Difference (SP-CB)</w:t>
            </w:r>
          </w:p>
        </w:tc>
        <w:tc>
          <w:tcPr>
            <w:tcW w:w="851" w:type="dxa"/>
            <w:noWrap/>
            <w:vAlign w:val="center"/>
            <w:hideMark/>
          </w:tcPr>
          <w:p w14:paraId="46C47C23" w14:textId="2E1379DC" w:rsidR="00407F5E" w:rsidRPr="0096644E" w:rsidRDefault="00407F5E" w:rsidP="00673711">
            <w:pPr>
              <w:jc w:val="center"/>
              <w:rPr>
                <w:b/>
                <w:bCs/>
              </w:rPr>
            </w:pPr>
            <w:r w:rsidRPr="0096644E">
              <w:rPr>
                <w:b/>
                <w:bCs/>
              </w:rPr>
              <w:t>SE</w:t>
            </w:r>
          </w:p>
        </w:tc>
      </w:tr>
      <w:tr w:rsidR="00407F5E" w:rsidRPr="00546153" w14:paraId="086AF236" w14:textId="77777777" w:rsidTr="00137D86">
        <w:trPr>
          <w:trHeight w:val="288"/>
        </w:trPr>
        <w:tc>
          <w:tcPr>
            <w:tcW w:w="3525" w:type="dxa"/>
            <w:noWrap/>
            <w:vAlign w:val="bottom"/>
            <w:hideMark/>
          </w:tcPr>
          <w:p w14:paraId="1DC71407" w14:textId="0C478FA4" w:rsidR="00407F5E" w:rsidRPr="00546153" w:rsidRDefault="00407F5E" w:rsidP="00673711">
            <w:r>
              <w:t>Science</w:t>
            </w:r>
            <w:r w:rsidRPr="00546153">
              <w:t xml:space="preserve"> </w:t>
            </w:r>
            <w:r>
              <w:t>overall scale</w:t>
            </w:r>
          </w:p>
        </w:tc>
        <w:tc>
          <w:tcPr>
            <w:tcW w:w="1320" w:type="dxa"/>
            <w:noWrap/>
            <w:vAlign w:val="bottom"/>
          </w:tcPr>
          <w:p w14:paraId="79580E21" w14:textId="35E14869" w:rsidR="00407F5E" w:rsidRPr="00994C8A" w:rsidRDefault="00407F5E" w:rsidP="00673711">
            <w:pPr>
              <w:jc w:val="center"/>
              <w:rPr>
                <w:vertAlign w:val="superscript"/>
              </w:rPr>
            </w:pPr>
            <w:r>
              <w:t>182</w:t>
            </w:r>
            <w:r>
              <w:rPr>
                <w:vertAlign w:val="superscript"/>
              </w:rPr>
              <w:t>3</w:t>
            </w:r>
          </w:p>
        </w:tc>
        <w:tc>
          <w:tcPr>
            <w:tcW w:w="885" w:type="dxa"/>
            <w:noWrap/>
          </w:tcPr>
          <w:p w14:paraId="42231408" w14:textId="2B39447F" w:rsidR="00407F5E" w:rsidRPr="00546153" w:rsidRDefault="00407F5E" w:rsidP="00673711">
            <w:pPr>
              <w:jc w:val="center"/>
            </w:pPr>
            <w:r w:rsidRPr="00222635">
              <w:t>43.7</w:t>
            </w:r>
          </w:p>
        </w:tc>
        <w:tc>
          <w:tcPr>
            <w:tcW w:w="1245" w:type="dxa"/>
            <w:noWrap/>
          </w:tcPr>
          <w:p w14:paraId="56C43D1D" w14:textId="7A6209AC" w:rsidR="00407F5E" w:rsidRPr="00546153" w:rsidRDefault="00407F5E" w:rsidP="00673711">
            <w:pPr>
              <w:jc w:val="center"/>
            </w:pPr>
            <w:r w:rsidRPr="001A640C">
              <w:t>43.8</w:t>
            </w:r>
          </w:p>
        </w:tc>
        <w:tc>
          <w:tcPr>
            <w:tcW w:w="1373" w:type="dxa"/>
            <w:noWrap/>
          </w:tcPr>
          <w:p w14:paraId="416962F1" w14:textId="46A340C5" w:rsidR="00407F5E" w:rsidRPr="00546153" w:rsidRDefault="00407F5E" w:rsidP="00673711">
            <w:pPr>
              <w:jc w:val="center"/>
            </w:pPr>
            <w:r w:rsidRPr="00C668F9">
              <w:t>-0.1</w:t>
            </w:r>
          </w:p>
        </w:tc>
        <w:tc>
          <w:tcPr>
            <w:tcW w:w="851" w:type="dxa"/>
            <w:noWrap/>
          </w:tcPr>
          <w:p w14:paraId="0305967D" w14:textId="24327F43" w:rsidR="00407F5E" w:rsidRPr="00546153" w:rsidRDefault="00407F5E" w:rsidP="00673711">
            <w:pPr>
              <w:jc w:val="center"/>
            </w:pPr>
            <w:r w:rsidRPr="00BF56E7">
              <w:t>0.2</w:t>
            </w:r>
          </w:p>
        </w:tc>
      </w:tr>
      <w:tr w:rsidR="00407F5E" w:rsidRPr="00546153" w14:paraId="362BF527" w14:textId="77777777" w:rsidTr="00137D86">
        <w:trPr>
          <w:trHeight w:val="288"/>
        </w:trPr>
        <w:tc>
          <w:tcPr>
            <w:tcW w:w="3525" w:type="dxa"/>
            <w:noWrap/>
            <w:vAlign w:val="bottom"/>
            <w:hideMark/>
          </w:tcPr>
          <w:p w14:paraId="24909756" w14:textId="2031B643" w:rsidR="00407F5E" w:rsidRPr="00546153" w:rsidRDefault="00407F5E" w:rsidP="00673711">
            <w:r w:rsidRPr="00546153">
              <w:t xml:space="preserve">     </w:t>
            </w:r>
            <w:r>
              <w:t>Physical Science</w:t>
            </w:r>
          </w:p>
        </w:tc>
        <w:tc>
          <w:tcPr>
            <w:tcW w:w="1320" w:type="dxa"/>
            <w:noWrap/>
            <w:vAlign w:val="bottom"/>
          </w:tcPr>
          <w:p w14:paraId="5A0A8EBE" w14:textId="6A472959" w:rsidR="00407F5E" w:rsidRPr="00546153" w:rsidRDefault="00407F5E" w:rsidP="00673711">
            <w:pPr>
              <w:jc w:val="center"/>
            </w:pPr>
            <w:r>
              <w:t>62</w:t>
            </w:r>
          </w:p>
        </w:tc>
        <w:tc>
          <w:tcPr>
            <w:tcW w:w="885" w:type="dxa"/>
            <w:noWrap/>
          </w:tcPr>
          <w:p w14:paraId="6212F36D" w14:textId="4F0590F4" w:rsidR="00407F5E" w:rsidRPr="00546153" w:rsidRDefault="00407F5E" w:rsidP="00673711">
            <w:pPr>
              <w:jc w:val="center"/>
            </w:pPr>
            <w:r w:rsidRPr="00222635">
              <w:t>41.5</w:t>
            </w:r>
          </w:p>
        </w:tc>
        <w:tc>
          <w:tcPr>
            <w:tcW w:w="1245" w:type="dxa"/>
            <w:noWrap/>
          </w:tcPr>
          <w:p w14:paraId="0C1185BA" w14:textId="1E1A01F3" w:rsidR="00407F5E" w:rsidRPr="00546153" w:rsidRDefault="00407F5E" w:rsidP="00673711">
            <w:pPr>
              <w:jc w:val="center"/>
            </w:pPr>
            <w:r w:rsidRPr="001A640C">
              <w:t>41.7</w:t>
            </w:r>
          </w:p>
        </w:tc>
        <w:tc>
          <w:tcPr>
            <w:tcW w:w="1373" w:type="dxa"/>
            <w:noWrap/>
          </w:tcPr>
          <w:p w14:paraId="1743DDFB" w14:textId="7FF88D1F" w:rsidR="00407F5E" w:rsidRPr="00546153" w:rsidRDefault="00407F5E" w:rsidP="00673711">
            <w:pPr>
              <w:jc w:val="center"/>
            </w:pPr>
            <w:r w:rsidRPr="00C668F9">
              <w:t>-0.2</w:t>
            </w:r>
          </w:p>
        </w:tc>
        <w:tc>
          <w:tcPr>
            <w:tcW w:w="851" w:type="dxa"/>
            <w:noWrap/>
          </w:tcPr>
          <w:p w14:paraId="21A79C82" w14:textId="4048E90F" w:rsidR="00407F5E" w:rsidRPr="00546153" w:rsidRDefault="00407F5E" w:rsidP="00673711">
            <w:pPr>
              <w:jc w:val="center"/>
            </w:pPr>
            <w:r w:rsidRPr="00BF56E7">
              <w:t>0.3</w:t>
            </w:r>
          </w:p>
        </w:tc>
      </w:tr>
      <w:tr w:rsidR="00407F5E" w:rsidRPr="00546153" w14:paraId="7374E5A1" w14:textId="77777777" w:rsidTr="00137D86">
        <w:trPr>
          <w:trHeight w:val="288"/>
        </w:trPr>
        <w:tc>
          <w:tcPr>
            <w:tcW w:w="3525" w:type="dxa"/>
            <w:noWrap/>
            <w:vAlign w:val="bottom"/>
            <w:hideMark/>
          </w:tcPr>
          <w:p w14:paraId="7E1E2B9A" w14:textId="3EA108D0" w:rsidR="00407F5E" w:rsidRPr="00546153" w:rsidRDefault="00407F5E" w:rsidP="00673711">
            <w:r w:rsidRPr="00546153">
              <w:t xml:space="preserve">     </w:t>
            </w:r>
            <w:r>
              <w:t>Earth and Space Sciences</w:t>
            </w:r>
          </w:p>
        </w:tc>
        <w:tc>
          <w:tcPr>
            <w:tcW w:w="1320" w:type="dxa"/>
            <w:noWrap/>
            <w:vAlign w:val="bottom"/>
          </w:tcPr>
          <w:p w14:paraId="667BB8B1" w14:textId="13F3BF46" w:rsidR="00407F5E" w:rsidRPr="00546153" w:rsidRDefault="00407F5E" w:rsidP="00673711">
            <w:pPr>
              <w:jc w:val="center"/>
            </w:pPr>
            <w:r>
              <w:t>68</w:t>
            </w:r>
          </w:p>
        </w:tc>
        <w:tc>
          <w:tcPr>
            <w:tcW w:w="885" w:type="dxa"/>
            <w:noWrap/>
          </w:tcPr>
          <w:p w14:paraId="336940FC" w14:textId="2396D229" w:rsidR="00407F5E" w:rsidRPr="00546153" w:rsidRDefault="00407F5E" w:rsidP="00673711">
            <w:pPr>
              <w:jc w:val="center"/>
            </w:pPr>
            <w:r w:rsidRPr="00222635">
              <w:t>42.0</w:t>
            </w:r>
          </w:p>
        </w:tc>
        <w:tc>
          <w:tcPr>
            <w:tcW w:w="1245" w:type="dxa"/>
            <w:noWrap/>
          </w:tcPr>
          <w:p w14:paraId="67EEBF7D" w14:textId="66C9817F" w:rsidR="00407F5E" w:rsidRPr="00546153" w:rsidRDefault="00407F5E" w:rsidP="00673711">
            <w:pPr>
              <w:jc w:val="center"/>
            </w:pPr>
            <w:r w:rsidRPr="001A640C">
              <w:t>41.8</w:t>
            </w:r>
          </w:p>
        </w:tc>
        <w:tc>
          <w:tcPr>
            <w:tcW w:w="1373" w:type="dxa"/>
            <w:noWrap/>
          </w:tcPr>
          <w:p w14:paraId="4D35043D" w14:textId="7D4ACA01" w:rsidR="00407F5E" w:rsidRPr="00546153" w:rsidRDefault="00407F5E" w:rsidP="00673711">
            <w:pPr>
              <w:jc w:val="center"/>
            </w:pPr>
            <w:r w:rsidRPr="00C668F9">
              <w:t>0.2</w:t>
            </w:r>
          </w:p>
        </w:tc>
        <w:tc>
          <w:tcPr>
            <w:tcW w:w="851" w:type="dxa"/>
            <w:noWrap/>
          </w:tcPr>
          <w:p w14:paraId="05F06C3C" w14:textId="4821B55F" w:rsidR="00407F5E" w:rsidRPr="00546153" w:rsidRDefault="00407F5E" w:rsidP="00673711">
            <w:pPr>
              <w:jc w:val="center"/>
            </w:pPr>
            <w:r w:rsidRPr="00BF56E7">
              <w:t>0.2</w:t>
            </w:r>
          </w:p>
        </w:tc>
      </w:tr>
      <w:tr w:rsidR="00407F5E" w:rsidRPr="00546153" w14:paraId="7865CE58" w14:textId="77777777" w:rsidTr="00137D86">
        <w:trPr>
          <w:trHeight w:val="288"/>
        </w:trPr>
        <w:tc>
          <w:tcPr>
            <w:tcW w:w="3525" w:type="dxa"/>
            <w:noWrap/>
            <w:vAlign w:val="bottom"/>
            <w:hideMark/>
          </w:tcPr>
          <w:p w14:paraId="44FB55FD" w14:textId="6F5BEB41" w:rsidR="00407F5E" w:rsidRPr="00546153" w:rsidRDefault="00407F5E" w:rsidP="00673711">
            <w:r w:rsidRPr="00546153">
              <w:t xml:space="preserve">     </w:t>
            </w:r>
            <w:r>
              <w:t>Life Science</w:t>
            </w:r>
          </w:p>
        </w:tc>
        <w:tc>
          <w:tcPr>
            <w:tcW w:w="1320" w:type="dxa"/>
            <w:noWrap/>
            <w:vAlign w:val="bottom"/>
          </w:tcPr>
          <w:p w14:paraId="791E9948" w14:textId="27850A1A" w:rsidR="00407F5E" w:rsidRPr="00546153" w:rsidRDefault="00407F5E" w:rsidP="00673711">
            <w:pPr>
              <w:jc w:val="center"/>
            </w:pPr>
            <w:r>
              <w:t>52</w:t>
            </w:r>
          </w:p>
        </w:tc>
        <w:tc>
          <w:tcPr>
            <w:tcW w:w="885" w:type="dxa"/>
            <w:noWrap/>
          </w:tcPr>
          <w:p w14:paraId="25EB5F36" w14:textId="6C09297C" w:rsidR="00407F5E" w:rsidRPr="00546153" w:rsidRDefault="00407F5E" w:rsidP="00673711">
            <w:pPr>
              <w:jc w:val="center"/>
            </w:pPr>
            <w:r w:rsidRPr="00222635">
              <w:t>48.3</w:t>
            </w:r>
          </w:p>
        </w:tc>
        <w:tc>
          <w:tcPr>
            <w:tcW w:w="1245" w:type="dxa"/>
            <w:noWrap/>
          </w:tcPr>
          <w:p w14:paraId="51B05E6D" w14:textId="5B79C425" w:rsidR="00407F5E" w:rsidRPr="00546153" w:rsidRDefault="00407F5E" w:rsidP="00673711">
            <w:pPr>
              <w:jc w:val="center"/>
            </w:pPr>
            <w:r w:rsidRPr="001A640C">
              <w:t>48.6</w:t>
            </w:r>
          </w:p>
        </w:tc>
        <w:tc>
          <w:tcPr>
            <w:tcW w:w="1373" w:type="dxa"/>
            <w:noWrap/>
          </w:tcPr>
          <w:p w14:paraId="76236432" w14:textId="3934905C" w:rsidR="00407F5E" w:rsidRPr="00546153" w:rsidRDefault="00407F5E" w:rsidP="00673711">
            <w:pPr>
              <w:jc w:val="center"/>
            </w:pPr>
            <w:r w:rsidRPr="00C668F9">
              <w:t>-0.3</w:t>
            </w:r>
          </w:p>
        </w:tc>
        <w:tc>
          <w:tcPr>
            <w:tcW w:w="851" w:type="dxa"/>
            <w:noWrap/>
          </w:tcPr>
          <w:p w14:paraId="46C7C1E2" w14:textId="5037DDF2" w:rsidR="00407F5E" w:rsidRPr="00546153" w:rsidRDefault="00407F5E" w:rsidP="00673711">
            <w:pPr>
              <w:jc w:val="center"/>
            </w:pPr>
            <w:r w:rsidRPr="00BF56E7">
              <w:t>0.3</w:t>
            </w:r>
          </w:p>
        </w:tc>
      </w:tr>
    </w:tbl>
    <w:p w14:paraId="6957A6FF" w14:textId="1723D24A" w:rsidR="00546153" w:rsidRPr="001F0BAB" w:rsidRDefault="00546153" w:rsidP="00546153">
      <w:pPr>
        <w:rPr>
          <w:sz w:val="20"/>
          <w:szCs w:val="20"/>
        </w:rPr>
      </w:pPr>
      <w:r w:rsidRPr="001F0BAB">
        <w:rPr>
          <w:sz w:val="20"/>
          <w:szCs w:val="20"/>
        </w:rPr>
        <w:t>Note: SE = standard error.</w:t>
      </w:r>
    </w:p>
    <w:p w14:paraId="28EFD028" w14:textId="77777777" w:rsidR="001F0BAB" w:rsidRDefault="001F0BAB" w:rsidP="00F01A57">
      <w:pPr>
        <w:spacing w:after="120"/>
        <w:rPr>
          <w:rFonts w:asciiTheme="majorHAnsi" w:hAnsiTheme="majorHAnsi" w:cstheme="majorHAnsi"/>
          <w:b/>
          <w:sz w:val="31"/>
          <w:szCs w:val="31"/>
        </w:rPr>
      </w:pPr>
    </w:p>
    <w:p w14:paraId="6BEC94B3" w14:textId="4527F506" w:rsidR="00F01A57" w:rsidRPr="00FD1544" w:rsidRDefault="00F01A57" w:rsidP="00F01A57">
      <w:pPr>
        <w:spacing w:after="120"/>
        <w:rPr>
          <w:rFonts w:asciiTheme="majorHAnsi" w:hAnsiTheme="majorHAnsi" w:cstheme="majorHAnsi"/>
          <w:b/>
          <w:sz w:val="31"/>
          <w:szCs w:val="31"/>
        </w:rPr>
      </w:pPr>
      <w:r w:rsidRPr="00FD1544">
        <w:rPr>
          <w:rFonts w:asciiTheme="majorHAnsi" w:hAnsiTheme="majorHAnsi" w:cstheme="majorHAnsi"/>
          <w:b/>
          <w:sz w:val="31"/>
          <w:szCs w:val="31"/>
        </w:rPr>
        <w:t>Evaluation of the</w:t>
      </w:r>
      <w:r>
        <w:rPr>
          <w:rFonts w:asciiTheme="majorHAnsi" w:hAnsiTheme="majorHAnsi" w:cstheme="majorHAnsi"/>
          <w:b/>
          <w:sz w:val="31"/>
          <w:szCs w:val="31"/>
        </w:rPr>
        <w:t xml:space="preserve"> device </w:t>
      </w:r>
      <w:r w:rsidRPr="00FD1544">
        <w:rPr>
          <w:rFonts w:asciiTheme="majorHAnsi" w:hAnsiTheme="majorHAnsi" w:cstheme="majorHAnsi"/>
          <w:b/>
          <w:sz w:val="31"/>
          <w:szCs w:val="31"/>
        </w:rPr>
        <w:t>transition on subgroup</w:t>
      </w:r>
      <w:r>
        <w:rPr>
          <w:rFonts w:asciiTheme="majorHAnsi" w:hAnsiTheme="majorHAnsi" w:cstheme="majorHAnsi"/>
          <w:b/>
          <w:sz w:val="31"/>
          <w:szCs w:val="31"/>
        </w:rPr>
        <w:t xml:space="preserve"> </w:t>
      </w:r>
      <w:r w:rsidR="00C24C0F">
        <w:rPr>
          <w:rFonts w:asciiTheme="majorHAnsi" w:hAnsiTheme="majorHAnsi" w:cstheme="majorHAnsi"/>
          <w:b/>
          <w:sz w:val="31"/>
          <w:szCs w:val="31"/>
        </w:rPr>
        <w:t xml:space="preserve">performance </w:t>
      </w:r>
      <w:r w:rsidRPr="00FD1544">
        <w:rPr>
          <w:rFonts w:asciiTheme="majorHAnsi" w:hAnsiTheme="majorHAnsi" w:cstheme="majorHAnsi"/>
          <w:b/>
          <w:sz w:val="31"/>
          <w:szCs w:val="31"/>
        </w:rPr>
        <w:t>estimates</w:t>
      </w:r>
    </w:p>
    <w:p w14:paraId="41D5B515" w14:textId="3C28B70D" w:rsidR="00546153" w:rsidRPr="00546153" w:rsidRDefault="2CFA1F08" w:rsidP="00546153">
      <w:r>
        <w:t>To evaluate the effect of the device transition on performance for subgroups,</w:t>
      </w:r>
      <w:r w:rsidR="2542231D">
        <w:t xml:space="preserve"> </w:t>
      </w:r>
      <w:r w:rsidR="5FD98453">
        <w:t xml:space="preserve">SP and CB results were compared at various analysis steps </w:t>
      </w:r>
      <w:r>
        <w:t>to determine to what extent the two components function similarly</w:t>
      </w:r>
      <w:r w:rsidR="7BDE2295">
        <w:t>. T</w:t>
      </w:r>
      <w:r>
        <w:t xml:space="preserve">he next evaluation steps were to consider whether the common item linking </w:t>
      </w:r>
      <w:r w:rsidR="00AE541D">
        <w:t xml:space="preserve">approach </w:t>
      </w:r>
      <w:r>
        <w:t xml:space="preserve">was effective </w:t>
      </w:r>
      <w:r w:rsidR="00AE541D">
        <w:t>to link scores between</w:t>
      </w:r>
      <w:r w:rsidR="00F51F49" w:rsidRPr="00A927B7">
        <w:t xml:space="preserve"> device</w:t>
      </w:r>
      <w:r w:rsidR="00F51F49">
        <w:t xml:space="preserve"> condition</w:t>
      </w:r>
      <w:r w:rsidR="00F51F49" w:rsidRPr="00A927B7">
        <w:t xml:space="preserve">s </w:t>
      </w:r>
      <w:r w:rsidR="00F51F49">
        <w:t xml:space="preserve">between years </w:t>
      </w:r>
      <w:r>
        <w:t xml:space="preserve">and whether there were any meaningful device-by-subgroup interactions. The alignment of the SP and CB scale scores across the proficiency range was evaluated with the use of quantile-quantile plots (Q-Q plots). The Q-Q plot is a graphical tool for visually comparing the shapes of two distributions. The scale score estimate at every corresponding percentile from the SP and CB scale scores was graphed to compare the distributions of the SP and CB scale scores. </w:t>
      </w:r>
      <w:r w:rsidR="09B7093A">
        <w:t xml:space="preserve">For </w:t>
      </w:r>
      <w:r>
        <w:t xml:space="preserve">the </w:t>
      </w:r>
      <w:r w:rsidR="39E74053">
        <w:t>overall science</w:t>
      </w:r>
      <w:r>
        <w:t xml:space="preserve"> </w:t>
      </w:r>
      <w:r w:rsidR="09B7093A">
        <w:t>sc</w:t>
      </w:r>
      <w:r w:rsidR="2CA6D15D">
        <w:t>ale</w:t>
      </w:r>
      <w:r>
        <w:t xml:space="preserve"> and for each subscale, the SP and CB scale scores showed close alignment (see Figure 1 for Q-Q plots). </w:t>
      </w:r>
    </w:p>
    <w:p w14:paraId="4B53B4BE" w14:textId="4A385F29" w:rsidR="5A7EBC79" w:rsidRDefault="5A7EBC79"/>
    <w:p w14:paraId="4DE3F7D0" w14:textId="367C8585" w:rsidR="00546153" w:rsidRDefault="00546153" w:rsidP="00546153">
      <w:r w:rsidRPr="00546153">
        <w:t xml:space="preserve">Figure 1. Q-Q plots of </w:t>
      </w:r>
      <w:r w:rsidR="00ED4476" w:rsidRPr="00ED4476">
        <w:t>Surface Pro (SP) and Chromebook (CB)</w:t>
      </w:r>
      <w:r w:rsidRPr="00546153" w:rsidDel="00ED4476">
        <w:t xml:space="preserve"> </w:t>
      </w:r>
      <w:r w:rsidRPr="00546153">
        <w:t xml:space="preserve">scale scores for the </w:t>
      </w:r>
      <w:r w:rsidR="002554FF">
        <w:t>overall science scale and subscales</w:t>
      </w:r>
      <w:r w:rsidR="00296B49">
        <w:t xml:space="preserve"> at grade </w:t>
      </w:r>
      <w:r w:rsidRPr="00546153">
        <w:t>8: 2024</w:t>
      </w:r>
    </w:p>
    <w:p w14:paraId="0591669F" w14:textId="30C2F697" w:rsidR="00296B49" w:rsidRDefault="00130A52" w:rsidP="00546153">
      <w:r w:rsidRPr="00130A52">
        <w:rPr>
          <w:noProof/>
        </w:rPr>
        <w:drawing>
          <wp:inline distT="0" distB="0" distL="0" distR="0" wp14:anchorId="427AC54A" wp14:editId="3E5AB131">
            <wp:extent cx="5943600" cy="4671695"/>
            <wp:effectExtent l="0" t="0" r="0" b="0"/>
            <wp:docPr id="1292367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67797" name=""/>
                    <pic:cNvPicPr/>
                  </pic:nvPicPr>
                  <pic:blipFill>
                    <a:blip r:embed="rId10"/>
                    <a:stretch>
                      <a:fillRect/>
                    </a:stretch>
                  </pic:blipFill>
                  <pic:spPr>
                    <a:xfrm>
                      <a:off x="0" y="0"/>
                      <a:ext cx="5943600" cy="4671695"/>
                    </a:xfrm>
                    <a:prstGeom prst="rect">
                      <a:avLst/>
                    </a:prstGeom>
                  </pic:spPr>
                </pic:pic>
              </a:graphicData>
            </a:graphic>
          </wp:inline>
        </w:drawing>
      </w:r>
    </w:p>
    <w:p w14:paraId="442D7B5B" w14:textId="67B213F9" w:rsidR="00546153" w:rsidRPr="00546153" w:rsidRDefault="2CFA1F08" w:rsidP="00546153">
      <w:r>
        <w:t xml:space="preserve">Device-by-subgroup interactions were evaluated by calculating the </w:t>
      </w:r>
      <w:r w:rsidR="00D66F1A">
        <w:t xml:space="preserve">difference in </w:t>
      </w:r>
      <w:r>
        <w:t xml:space="preserve">average </w:t>
      </w:r>
      <w:r w:rsidR="00334B88">
        <w:t xml:space="preserve">scale scores </w:t>
      </w:r>
      <w:r>
        <w:t>between SP and CB</w:t>
      </w:r>
      <w:r w:rsidR="00334B88">
        <w:t>, for the overall science scale</w:t>
      </w:r>
      <w:r>
        <w:t xml:space="preserve">. Table </w:t>
      </w:r>
      <w:r w:rsidR="33307D84">
        <w:t>3</w:t>
      </w:r>
      <w:r>
        <w:t xml:space="preserve"> lists these average </w:t>
      </w:r>
      <w:r w:rsidR="2B6C71F4">
        <w:t>overall</w:t>
      </w:r>
      <w:r>
        <w:t xml:space="preserve"> scale score differences for the overall national sample and main reporting subgroups</w:t>
      </w:r>
      <w:r w:rsidR="056C38D4">
        <w:t>. T</w:t>
      </w:r>
      <w:r>
        <w:t xml:space="preserve">he corresponding standard errors </w:t>
      </w:r>
      <w:r w:rsidR="290080CA">
        <w:t xml:space="preserve">are </w:t>
      </w:r>
      <w:r>
        <w:t>in parentheses. These main reporting subgroups are defined by the five contextual variables NAEP is federally mandated to measure: gender, race/ethnicity, student disability status, English learner status, and economically disadvantaged status.</w:t>
      </w:r>
      <w:r w:rsidR="00AF1B76">
        <w:t xml:space="preserve"> None of the device differences across subgroups are statistically significant.</w:t>
      </w:r>
    </w:p>
    <w:p w14:paraId="42BAE83A" w14:textId="2CE59918" w:rsidR="00546153" w:rsidRPr="00B027A2" w:rsidRDefault="00546153" w:rsidP="00546153">
      <w:pPr>
        <w:rPr>
          <w:b/>
        </w:rPr>
      </w:pPr>
      <w:r w:rsidRPr="00546153">
        <w:t xml:space="preserve">Table </w:t>
      </w:r>
      <w:r w:rsidR="0095242F">
        <w:t>3</w:t>
      </w:r>
      <w:r w:rsidRPr="00546153">
        <w:t xml:space="preserve">. Differences in subgroup averages (Surface Pro minus Chromebook) by device in </w:t>
      </w:r>
      <w:r w:rsidR="009562F3">
        <w:t>science grade 8</w:t>
      </w:r>
      <w:r w:rsidRPr="00546153">
        <w:t>: 2024</w:t>
      </w:r>
    </w:p>
    <w:tbl>
      <w:tblPr>
        <w:tblW w:w="6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2570"/>
      </w:tblGrid>
      <w:tr w:rsidR="009562F3" w:rsidRPr="009964D2" w14:paraId="6BA09D55" w14:textId="77777777" w:rsidTr="000A6471">
        <w:trPr>
          <w:trHeight w:val="451"/>
          <w:jc w:val="center"/>
        </w:trPr>
        <w:tc>
          <w:tcPr>
            <w:tcW w:w="3580" w:type="dxa"/>
            <w:noWrap/>
            <w:vAlign w:val="center"/>
            <w:hideMark/>
          </w:tcPr>
          <w:p w14:paraId="231231B5" w14:textId="77777777" w:rsidR="009562F3" w:rsidRPr="009964D2" w:rsidRDefault="009562F3" w:rsidP="00546153">
            <w:pPr>
              <w:rPr>
                <w:b/>
              </w:rPr>
            </w:pPr>
            <w:r w:rsidRPr="009964D2">
              <w:rPr>
                <w:b/>
              </w:rPr>
              <w:t>Subgroup</w:t>
            </w:r>
          </w:p>
        </w:tc>
        <w:tc>
          <w:tcPr>
            <w:tcW w:w="2570" w:type="dxa"/>
            <w:noWrap/>
            <w:vAlign w:val="center"/>
            <w:hideMark/>
          </w:tcPr>
          <w:p w14:paraId="0F0053FC" w14:textId="613B302B" w:rsidR="009562F3" w:rsidRPr="009964D2" w:rsidRDefault="00DE76CA" w:rsidP="006E7F66">
            <w:pPr>
              <w:jc w:val="center"/>
              <w:rPr>
                <w:b/>
              </w:rPr>
            </w:pPr>
            <w:r>
              <w:rPr>
                <w:b/>
              </w:rPr>
              <w:t xml:space="preserve">Overall </w:t>
            </w:r>
            <w:r w:rsidR="006F5319">
              <w:rPr>
                <w:b/>
              </w:rPr>
              <w:t>s</w:t>
            </w:r>
            <w:r>
              <w:rPr>
                <w:b/>
              </w:rPr>
              <w:t xml:space="preserve">cience </w:t>
            </w:r>
            <w:r w:rsidR="006F5319">
              <w:rPr>
                <w:b/>
              </w:rPr>
              <w:t>s</w:t>
            </w:r>
            <w:r>
              <w:rPr>
                <w:b/>
              </w:rPr>
              <w:t xml:space="preserve">cale </w:t>
            </w:r>
          </w:p>
        </w:tc>
      </w:tr>
      <w:tr w:rsidR="009562F3" w:rsidRPr="009964D2" w14:paraId="63EA891B" w14:textId="77777777" w:rsidTr="000A6471">
        <w:trPr>
          <w:trHeight w:val="451"/>
          <w:jc w:val="center"/>
        </w:trPr>
        <w:tc>
          <w:tcPr>
            <w:tcW w:w="3580" w:type="dxa"/>
            <w:noWrap/>
            <w:vAlign w:val="center"/>
            <w:hideMark/>
          </w:tcPr>
          <w:p w14:paraId="0BC0B527" w14:textId="77777777" w:rsidR="009562F3" w:rsidRPr="00C17B02" w:rsidRDefault="009562F3" w:rsidP="00546153">
            <w:pPr>
              <w:rPr>
                <w:bCs/>
              </w:rPr>
            </w:pPr>
            <w:r w:rsidRPr="00C17B02">
              <w:rPr>
                <w:bCs/>
              </w:rPr>
              <w:t>Overall</w:t>
            </w:r>
          </w:p>
        </w:tc>
        <w:tc>
          <w:tcPr>
            <w:tcW w:w="2570" w:type="dxa"/>
            <w:noWrap/>
            <w:vAlign w:val="bottom"/>
            <w:hideMark/>
          </w:tcPr>
          <w:p w14:paraId="6FE81E13" w14:textId="486DDAF2" w:rsidR="009562F3" w:rsidRPr="009964D2" w:rsidRDefault="009562F3" w:rsidP="006E7F66">
            <w:pPr>
              <w:jc w:val="center"/>
              <w:rPr>
                <w:bCs/>
                <w:color w:val="FF0000"/>
              </w:rPr>
            </w:pPr>
            <w:r w:rsidRPr="009964D2">
              <w:rPr>
                <w:rFonts w:cs="Calibri"/>
                <w:bCs/>
                <w:color w:val="000000"/>
              </w:rPr>
              <w:t>0.</w:t>
            </w:r>
            <w:r w:rsidR="006E7F66" w:rsidRPr="009964D2">
              <w:rPr>
                <w:rFonts w:cs="Calibri"/>
                <w:bCs/>
                <w:color w:val="000000"/>
              </w:rPr>
              <w:t>2</w:t>
            </w:r>
            <w:r w:rsidRPr="009964D2">
              <w:rPr>
                <w:rFonts w:cs="Calibri"/>
                <w:bCs/>
                <w:color w:val="000000"/>
              </w:rPr>
              <w:t xml:space="preserve"> (0.5)</w:t>
            </w:r>
          </w:p>
        </w:tc>
      </w:tr>
      <w:tr w:rsidR="009562F3" w:rsidRPr="009964D2" w14:paraId="2F064300" w14:textId="77777777" w:rsidTr="000A6471">
        <w:trPr>
          <w:trHeight w:val="451"/>
          <w:jc w:val="center"/>
        </w:trPr>
        <w:tc>
          <w:tcPr>
            <w:tcW w:w="3580" w:type="dxa"/>
            <w:vAlign w:val="center"/>
            <w:hideMark/>
          </w:tcPr>
          <w:p w14:paraId="379AD00A" w14:textId="77777777" w:rsidR="009562F3" w:rsidRPr="00C17B02" w:rsidRDefault="009562F3" w:rsidP="00546153">
            <w:pPr>
              <w:rPr>
                <w:bCs/>
              </w:rPr>
            </w:pPr>
            <w:r w:rsidRPr="00C17B02">
              <w:rPr>
                <w:bCs/>
              </w:rPr>
              <w:t>Male</w:t>
            </w:r>
          </w:p>
        </w:tc>
        <w:tc>
          <w:tcPr>
            <w:tcW w:w="2570" w:type="dxa"/>
            <w:noWrap/>
            <w:vAlign w:val="bottom"/>
          </w:tcPr>
          <w:p w14:paraId="1E169606" w14:textId="39754ACF" w:rsidR="009562F3" w:rsidRPr="009964D2" w:rsidRDefault="006E7F66" w:rsidP="006E7F66">
            <w:pPr>
              <w:jc w:val="center"/>
              <w:rPr>
                <w:bCs/>
              </w:rPr>
            </w:pPr>
            <w:r w:rsidRPr="009964D2">
              <w:rPr>
                <w:rFonts w:cs="Calibri"/>
                <w:bCs/>
                <w:color w:val="000000"/>
              </w:rPr>
              <w:t>-0.1 (0.6)</w:t>
            </w:r>
          </w:p>
        </w:tc>
      </w:tr>
      <w:tr w:rsidR="009562F3" w:rsidRPr="009964D2" w14:paraId="2823B0A9" w14:textId="77777777" w:rsidTr="000A6471">
        <w:trPr>
          <w:trHeight w:val="451"/>
          <w:jc w:val="center"/>
        </w:trPr>
        <w:tc>
          <w:tcPr>
            <w:tcW w:w="3580" w:type="dxa"/>
            <w:vAlign w:val="center"/>
            <w:hideMark/>
          </w:tcPr>
          <w:p w14:paraId="1E451F88" w14:textId="77777777" w:rsidR="009562F3" w:rsidRPr="00C17B02" w:rsidRDefault="009562F3" w:rsidP="00546153">
            <w:pPr>
              <w:rPr>
                <w:bCs/>
              </w:rPr>
            </w:pPr>
            <w:r w:rsidRPr="00C17B02">
              <w:rPr>
                <w:bCs/>
              </w:rPr>
              <w:t>Female</w:t>
            </w:r>
          </w:p>
        </w:tc>
        <w:tc>
          <w:tcPr>
            <w:tcW w:w="2570" w:type="dxa"/>
            <w:noWrap/>
            <w:vAlign w:val="bottom"/>
          </w:tcPr>
          <w:p w14:paraId="5707C8F6" w14:textId="63C3B952" w:rsidR="009562F3" w:rsidRPr="009964D2" w:rsidRDefault="006E7F66" w:rsidP="006E7F66">
            <w:pPr>
              <w:jc w:val="center"/>
              <w:rPr>
                <w:bCs/>
              </w:rPr>
            </w:pPr>
            <w:r w:rsidRPr="009964D2">
              <w:rPr>
                <w:rFonts w:cs="Calibri"/>
                <w:bCs/>
                <w:color w:val="000000"/>
              </w:rPr>
              <w:t>0.5 (0.8)</w:t>
            </w:r>
          </w:p>
        </w:tc>
      </w:tr>
      <w:tr w:rsidR="009562F3" w:rsidRPr="009964D2" w14:paraId="05E99758" w14:textId="77777777" w:rsidTr="000A6471">
        <w:trPr>
          <w:trHeight w:val="451"/>
          <w:jc w:val="center"/>
        </w:trPr>
        <w:tc>
          <w:tcPr>
            <w:tcW w:w="3580" w:type="dxa"/>
            <w:vAlign w:val="center"/>
            <w:hideMark/>
          </w:tcPr>
          <w:p w14:paraId="7C3D198F" w14:textId="77777777" w:rsidR="009562F3" w:rsidRPr="00C17B02" w:rsidRDefault="009562F3" w:rsidP="00546153">
            <w:pPr>
              <w:rPr>
                <w:bCs/>
              </w:rPr>
            </w:pPr>
            <w:r w:rsidRPr="00C17B02">
              <w:rPr>
                <w:bCs/>
              </w:rPr>
              <w:t>White</w:t>
            </w:r>
          </w:p>
        </w:tc>
        <w:tc>
          <w:tcPr>
            <w:tcW w:w="2570" w:type="dxa"/>
            <w:noWrap/>
            <w:vAlign w:val="bottom"/>
          </w:tcPr>
          <w:p w14:paraId="491133B5" w14:textId="66A95BA0" w:rsidR="009562F3" w:rsidRPr="009964D2" w:rsidRDefault="006E7F66" w:rsidP="006E7F66">
            <w:pPr>
              <w:jc w:val="center"/>
              <w:rPr>
                <w:bCs/>
              </w:rPr>
            </w:pPr>
            <w:r w:rsidRPr="009964D2">
              <w:rPr>
                <w:rFonts w:cs="Calibri"/>
                <w:bCs/>
                <w:color w:val="000000"/>
              </w:rPr>
              <w:t>-0.1 (0.8)</w:t>
            </w:r>
          </w:p>
        </w:tc>
      </w:tr>
      <w:tr w:rsidR="009562F3" w:rsidRPr="009964D2" w14:paraId="44D2BCF4" w14:textId="77777777" w:rsidTr="000A6471">
        <w:trPr>
          <w:trHeight w:val="451"/>
          <w:jc w:val="center"/>
        </w:trPr>
        <w:tc>
          <w:tcPr>
            <w:tcW w:w="3580" w:type="dxa"/>
            <w:vAlign w:val="center"/>
            <w:hideMark/>
          </w:tcPr>
          <w:p w14:paraId="6D5FB2E7" w14:textId="77777777" w:rsidR="009562F3" w:rsidRPr="00C17B02" w:rsidRDefault="009562F3" w:rsidP="00546153">
            <w:pPr>
              <w:rPr>
                <w:bCs/>
              </w:rPr>
            </w:pPr>
            <w:r w:rsidRPr="00C17B02">
              <w:rPr>
                <w:bCs/>
              </w:rPr>
              <w:t>Black</w:t>
            </w:r>
          </w:p>
        </w:tc>
        <w:tc>
          <w:tcPr>
            <w:tcW w:w="2570" w:type="dxa"/>
            <w:noWrap/>
            <w:vAlign w:val="bottom"/>
          </w:tcPr>
          <w:p w14:paraId="19E2C49A" w14:textId="0A2CE4FE" w:rsidR="009562F3" w:rsidRPr="009964D2" w:rsidRDefault="006E7F66" w:rsidP="006E7F66">
            <w:pPr>
              <w:jc w:val="center"/>
              <w:rPr>
                <w:bCs/>
              </w:rPr>
            </w:pPr>
            <w:r w:rsidRPr="009964D2">
              <w:rPr>
                <w:rFonts w:cs="Calibri"/>
                <w:bCs/>
                <w:color w:val="000000"/>
              </w:rPr>
              <w:t>-1.7 (1.5)</w:t>
            </w:r>
          </w:p>
        </w:tc>
      </w:tr>
      <w:tr w:rsidR="009562F3" w:rsidRPr="009964D2" w14:paraId="678744F7" w14:textId="77777777" w:rsidTr="000A6471">
        <w:trPr>
          <w:trHeight w:val="451"/>
          <w:jc w:val="center"/>
        </w:trPr>
        <w:tc>
          <w:tcPr>
            <w:tcW w:w="3580" w:type="dxa"/>
            <w:vAlign w:val="center"/>
            <w:hideMark/>
          </w:tcPr>
          <w:p w14:paraId="63A7A997" w14:textId="77777777" w:rsidR="009562F3" w:rsidRPr="00C17B02" w:rsidRDefault="009562F3" w:rsidP="00546153">
            <w:pPr>
              <w:rPr>
                <w:bCs/>
              </w:rPr>
            </w:pPr>
            <w:r w:rsidRPr="00C17B02">
              <w:rPr>
                <w:bCs/>
              </w:rPr>
              <w:t>Hispanic</w:t>
            </w:r>
          </w:p>
        </w:tc>
        <w:tc>
          <w:tcPr>
            <w:tcW w:w="2570" w:type="dxa"/>
            <w:noWrap/>
            <w:vAlign w:val="bottom"/>
          </w:tcPr>
          <w:p w14:paraId="431F0120" w14:textId="77598BE8" w:rsidR="009562F3" w:rsidRPr="009964D2" w:rsidRDefault="006E7F66" w:rsidP="006E7F66">
            <w:pPr>
              <w:jc w:val="center"/>
              <w:rPr>
                <w:bCs/>
              </w:rPr>
            </w:pPr>
            <w:r w:rsidRPr="009964D2">
              <w:rPr>
                <w:rFonts w:cs="Calibri"/>
                <w:bCs/>
                <w:color w:val="000000"/>
              </w:rPr>
              <w:t>0.8 (0.9)</w:t>
            </w:r>
          </w:p>
        </w:tc>
      </w:tr>
      <w:tr w:rsidR="009562F3" w:rsidRPr="009964D2" w14:paraId="5C84018E" w14:textId="77777777" w:rsidTr="000A6471">
        <w:trPr>
          <w:trHeight w:val="451"/>
          <w:jc w:val="center"/>
        </w:trPr>
        <w:tc>
          <w:tcPr>
            <w:tcW w:w="3580" w:type="dxa"/>
            <w:vAlign w:val="center"/>
            <w:hideMark/>
          </w:tcPr>
          <w:p w14:paraId="4B6DAFB1" w14:textId="77777777" w:rsidR="009562F3" w:rsidRPr="00C17B02" w:rsidRDefault="009562F3" w:rsidP="00546153">
            <w:pPr>
              <w:rPr>
                <w:bCs/>
              </w:rPr>
            </w:pPr>
            <w:r w:rsidRPr="00C17B02">
              <w:rPr>
                <w:bCs/>
              </w:rPr>
              <w:t>Asian</w:t>
            </w:r>
          </w:p>
        </w:tc>
        <w:tc>
          <w:tcPr>
            <w:tcW w:w="2570" w:type="dxa"/>
            <w:noWrap/>
            <w:vAlign w:val="bottom"/>
          </w:tcPr>
          <w:p w14:paraId="6A3714F6" w14:textId="415946DB" w:rsidR="009562F3" w:rsidRPr="009964D2" w:rsidRDefault="006E7F66" w:rsidP="006E7F66">
            <w:pPr>
              <w:jc w:val="center"/>
              <w:rPr>
                <w:bCs/>
              </w:rPr>
            </w:pPr>
            <w:r w:rsidRPr="009964D2">
              <w:rPr>
                <w:rFonts w:cs="Calibri"/>
                <w:bCs/>
                <w:color w:val="000000"/>
              </w:rPr>
              <w:t>1.1 (1.9)</w:t>
            </w:r>
          </w:p>
        </w:tc>
      </w:tr>
      <w:tr w:rsidR="009562F3" w:rsidRPr="009964D2" w14:paraId="6677C4FE" w14:textId="77777777" w:rsidTr="000A6471">
        <w:trPr>
          <w:trHeight w:val="298"/>
          <w:jc w:val="center"/>
        </w:trPr>
        <w:tc>
          <w:tcPr>
            <w:tcW w:w="3580" w:type="dxa"/>
            <w:vAlign w:val="center"/>
            <w:hideMark/>
          </w:tcPr>
          <w:p w14:paraId="4F3C9D98" w14:textId="77777777" w:rsidR="009562F3" w:rsidRPr="00C17B02" w:rsidRDefault="009562F3" w:rsidP="00546153">
            <w:pPr>
              <w:rPr>
                <w:bCs/>
              </w:rPr>
            </w:pPr>
            <w:r w:rsidRPr="00C17B02">
              <w:rPr>
                <w:bCs/>
              </w:rPr>
              <w:t>American Indian/ Alaska Native</w:t>
            </w:r>
          </w:p>
        </w:tc>
        <w:tc>
          <w:tcPr>
            <w:tcW w:w="2570" w:type="dxa"/>
            <w:noWrap/>
            <w:vAlign w:val="bottom"/>
          </w:tcPr>
          <w:p w14:paraId="50FA3014" w14:textId="190017E7" w:rsidR="009562F3" w:rsidRPr="009964D2" w:rsidRDefault="006E7F66" w:rsidP="006E7F66">
            <w:pPr>
              <w:jc w:val="center"/>
              <w:rPr>
                <w:bCs/>
              </w:rPr>
            </w:pPr>
            <w:r w:rsidRPr="009964D2">
              <w:rPr>
                <w:rFonts w:cs="Calibri"/>
                <w:bCs/>
                <w:color w:val="000000"/>
              </w:rPr>
              <w:t>1.3 (5.5)</w:t>
            </w:r>
          </w:p>
        </w:tc>
      </w:tr>
      <w:tr w:rsidR="009562F3" w:rsidRPr="009964D2" w14:paraId="668A8416" w14:textId="77777777" w:rsidTr="000A6471">
        <w:trPr>
          <w:trHeight w:val="451"/>
          <w:jc w:val="center"/>
        </w:trPr>
        <w:tc>
          <w:tcPr>
            <w:tcW w:w="3580" w:type="dxa"/>
            <w:vAlign w:val="center"/>
            <w:hideMark/>
          </w:tcPr>
          <w:p w14:paraId="1BCD3126" w14:textId="77777777" w:rsidR="009562F3" w:rsidRPr="00C17B02" w:rsidRDefault="009562F3" w:rsidP="00546153">
            <w:pPr>
              <w:rPr>
                <w:bCs/>
              </w:rPr>
            </w:pPr>
            <w:r w:rsidRPr="00C17B02">
              <w:rPr>
                <w:bCs/>
              </w:rPr>
              <w:t>SD</w:t>
            </w:r>
          </w:p>
        </w:tc>
        <w:tc>
          <w:tcPr>
            <w:tcW w:w="2570" w:type="dxa"/>
            <w:noWrap/>
            <w:vAlign w:val="bottom"/>
          </w:tcPr>
          <w:p w14:paraId="14540DAC" w14:textId="33A1B250" w:rsidR="009562F3" w:rsidRPr="009964D2" w:rsidRDefault="006E7F66" w:rsidP="006E7F66">
            <w:pPr>
              <w:jc w:val="center"/>
              <w:rPr>
                <w:bCs/>
              </w:rPr>
            </w:pPr>
            <w:r w:rsidRPr="009964D2">
              <w:rPr>
                <w:rFonts w:cs="Calibri"/>
                <w:bCs/>
                <w:color w:val="000000"/>
              </w:rPr>
              <w:t>1.3 (1.8)</w:t>
            </w:r>
          </w:p>
        </w:tc>
      </w:tr>
      <w:tr w:rsidR="009562F3" w:rsidRPr="009964D2" w14:paraId="1413539D" w14:textId="77777777" w:rsidTr="000A6471">
        <w:trPr>
          <w:trHeight w:val="451"/>
          <w:jc w:val="center"/>
        </w:trPr>
        <w:tc>
          <w:tcPr>
            <w:tcW w:w="3580" w:type="dxa"/>
            <w:vAlign w:val="center"/>
            <w:hideMark/>
          </w:tcPr>
          <w:p w14:paraId="6AFA304F" w14:textId="77777777" w:rsidR="009562F3" w:rsidRPr="00C17B02" w:rsidRDefault="009562F3" w:rsidP="00546153">
            <w:pPr>
              <w:rPr>
                <w:bCs/>
              </w:rPr>
            </w:pPr>
            <w:r w:rsidRPr="00C17B02">
              <w:rPr>
                <w:bCs/>
              </w:rPr>
              <w:t>Non-SD</w:t>
            </w:r>
          </w:p>
        </w:tc>
        <w:tc>
          <w:tcPr>
            <w:tcW w:w="2570" w:type="dxa"/>
            <w:noWrap/>
            <w:vAlign w:val="bottom"/>
          </w:tcPr>
          <w:p w14:paraId="7540E154" w14:textId="5D428625" w:rsidR="009562F3" w:rsidRPr="009964D2" w:rsidRDefault="006E7F66" w:rsidP="006E7F66">
            <w:pPr>
              <w:jc w:val="center"/>
              <w:rPr>
                <w:bCs/>
              </w:rPr>
            </w:pPr>
            <w:r w:rsidRPr="009964D2">
              <w:rPr>
                <w:rFonts w:cs="Calibri"/>
                <w:bCs/>
                <w:color w:val="000000"/>
              </w:rPr>
              <w:t>0.2 (0.5)</w:t>
            </w:r>
          </w:p>
        </w:tc>
      </w:tr>
      <w:tr w:rsidR="009562F3" w:rsidRPr="009964D2" w14:paraId="4E7AB26C" w14:textId="77777777" w:rsidTr="000A6471">
        <w:trPr>
          <w:trHeight w:val="451"/>
          <w:jc w:val="center"/>
        </w:trPr>
        <w:tc>
          <w:tcPr>
            <w:tcW w:w="3580" w:type="dxa"/>
            <w:vAlign w:val="center"/>
            <w:hideMark/>
          </w:tcPr>
          <w:p w14:paraId="447B5AFE" w14:textId="77777777" w:rsidR="009562F3" w:rsidRPr="00C17B02" w:rsidRDefault="009562F3" w:rsidP="00546153">
            <w:pPr>
              <w:rPr>
                <w:bCs/>
              </w:rPr>
            </w:pPr>
            <w:r w:rsidRPr="00C17B02">
              <w:rPr>
                <w:bCs/>
              </w:rPr>
              <w:t>EL</w:t>
            </w:r>
          </w:p>
        </w:tc>
        <w:tc>
          <w:tcPr>
            <w:tcW w:w="2570" w:type="dxa"/>
            <w:noWrap/>
            <w:vAlign w:val="bottom"/>
          </w:tcPr>
          <w:p w14:paraId="74CE3984" w14:textId="5C212689" w:rsidR="009562F3" w:rsidRPr="009964D2" w:rsidRDefault="006E7F66" w:rsidP="006E7F66">
            <w:pPr>
              <w:jc w:val="center"/>
              <w:rPr>
                <w:bCs/>
              </w:rPr>
            </w:pPr>
            <w:r w:rsidRPr="009964D2">
              <w:rPr>
                <w:rFonts w:cs="Calibri"/>
                <w:bCs/>
                <w:color w:val="000000"/>
              </w:rPr>
              <w:t>1.6 (1.5)</w:t>
            </w:r>
          </w:p>
        </w:tc>
      </w:tr>
      <w:tr w:rsidR="009562F3" w:rsidRPr="009964D2" w14:paraId="473E11AF" w14:textId="77777777" w:rsidTr="000A6471">
        <w:trPr>
          <w:trHeight w:val="49"/>
          <w:jc w:val="center"/>
        </w:trPr>
        <w:tc>
          <w:tcPr>
            <w:tcW w:w="3580" w:type="dxa"/>
            <w:vAlign w:val="center"/>
            <w:hideMark/>
          </w:tcPr>
          <w:p w14:paraId="541BB09A" w14:textId="77777777" w:rsidR="009562F3" w:rsidRPr="00C17B02" w:rsidRDefault="009562F3" w:rsidP="00546153">
            <w:pPr>
              <w:rPr>
                <w:bCs/>
              </w:rPr>
            </w:pPr>
            <w:r w:rsidRPr="00C17B02">
              <w:rPr>
                <w:bCs/>
              </w:rPr>
              <w:t>Non-EL</w:t>
            </w:r>
          </w:p>
        </w:tc>
        <w:tc>
          <w:tcPr>
            <w:tcW w:w="2570" w:type="dxa"/>
            <w:noWrap/>
            <w:vAlign w:val="bottom"/>
          </w:tcPr>
          <w:p w14:paraId="2E713C48" w14:textId="143ECEA4" w:rsidR="009562F3" w:rsidRPr="009964D2" w:rsidRDefault="006E7F66" w:rsidP="006E7F66">
            <w:pPr>
              <w:jc w:val="center"/>
              <w:rPr>
                <w:bCs/>
              </w:rPr>
            </w:pPr>
            <w:r w:rsidRPr="009964D2">
              <w:rPr>
                <w:rFonts w:cs="Calibri"/>
                <w:bCs/>
                <w:color w:val="000000"/>
              </w:rPr>
              <w:t>0.0 (0.5)</w:t>
            </w:r>
          </w:p>
        </w:tc>
      </w:tr>
      <w:tr w:rsidR="009562F3" w:rsidRPr="009964D2" w14:paraId="173B32A1" w14:textId="77777777" w:rsidTr="000A6471">
        <w:trPr>
          <w:trHeight w:val="451"/>
          <w:jc w:val="center"/>
        </w:trPr>
        <w:tc>
          <w:tcPr>
            <w:tcW w:w="3580" w:type="dxa"/>
            <w:vAlign w:val="center"/>
            <w:hideMark/>
          </w:tcPr>
          <w:p w14:paraId="33393001" w14:textId="77777777" w:rsidR="009562F3" w:rsidRPr="00C17B02" w:rsidRDefault="009562F3" w:rsidP="00546153">
            <w:pPr>
              <w:rPr>
                <w:bCs/>
              </w:rPr>
            </w:pPr>
            <w:r w:rsidRPr="00C17B02">
              <w:rPr>
                <w:bCs/>
              </w:rPr>
              <w:t>ED</w:t>
            </w:r>
          </w:p>
        </w:tc>
        <w:tc>
          <w:tcPr>
            <w:tcW w:w="2570" w:type="dxa"/>
            <w:noWrap/>
            <w:vAlign w:val="bottom"/>
          </w:tcPr>
          <w:p w14:paraId="4DB3B144" w14:textId="1671264F" w:rsidR="009562F3" w:rsidRPr="009964D2" w:rsidRDefault="006E7F66" w:rsidP="006E7F66">
            <w:pPr>
              <w:jc w:val="center"/>
              <w:rPr>
                <w:bCs/>
              </w:rPr>
            </w:pPr>
            <w:r w:rsidRPr="009964D2">
              <w:rPr>
                <w:rFonts w:cs="Calibri"/>
                <w:bCs/>
                <w:color w:val="000000"/>
              </w:rPr>
              <w:t>0.7 (0.6)</w:t>
            </w:r>
          </w:p>
        </w:tc>
      </w:tr>
      <w:tr w:rsidR="009562F3" w:rsidRPr="009964D2" w14:paraId="61C25B6E" w14:textId="77777777" w:rsidTr="000A6471">
        <w:trPr>
          <w:trHeight w:val="47"/>
          <w:jc w:val="center"/>
        </w:trPr>
        <w:tc>
          <w:tcPr>
            <w:tcW w:w="3580" w:type="dxa"/>
            <w:vAlign w:val="center"/>
            <w:hideMark/>
          </w:tcPr>
          <w:p w14:paraId="551210C5" w14:textId="77777777" w:rsidR="009562F3" w:rsidRPr="00C17B02" w:rsidRDefault="009562F3" w:rsidP="00546153">
            <w:pPr>
              <w:rPr>
                <w:bCs/>
              </w:rPr>
            </w:pPr>
            <w:r w:rsidRPr="00C17B02">
              <w:rPr>
                <w:bCs/>
              </w:rPr>
              <w:t>Non-ED</w:t>
            </w:r>
          </w:p>
        </w:tc>
        <w:tc>
          <w:tcPr>
            <w:tcW w:w="2570" w:type="dxa"/>
            <w:noWrap/>
            <w:vAlign w:val="bottom"/>
          </w:tcPr>
          <w:p w14:paraId="4F91BA78" w14:textId="0DD76045" w:rsidR="009562F3" w:rsidRPr="009964D2" w:rsidRDefault="006E7F66" w:rsidP="006E7F66">
            <w:pPr>
              <w:jc w:val="center"/>
              <w:rPr>
                <w:bCs/>
              </w:rPr>
            </w:pPr>
            <w:r w:rsidRPr="009964D2">
              <w:rPr>
                <w:rFonts w:cs="Calibri"/>
                <w:bCs/>
                <w:color w:val="000000"/>
              </w:rPr>
              <w:t>0.2 (0.7)</w:t>
            </w:r>
          </w:p>
        </w:tc>
      </w:tr>
    </w:tbl>
    <w:p w14:paraId="5AD90652" w14:textId="03ED40C6" w:rsidR="00546153" w:rsidRPr="00C17B02" w:rsidRDefault="00546153" w:rsidP="00546153">
      <w:pPr>
        <w:rPr>
          <w:sz w:val="20"/>
          <w:szCs w:val="20"/>
        </w:rPr>
      </w:pPr>
      <w:r w:rsidRPr="00C17B02">
        <w:rPr>
          <w:sz w:val="20"/>
          <w:szCs w:val="20"/>
        </w:rPr>
        <w:t xml:space="preserve">NOTE: SD = Students identified as students with disabilities. EL = English learners. ED = Economically </w:t>
      </w:r>
      <w:r w:rsidR="1D1B6CDD" w:rsidRPr="6A1814FB">
        <w:rPr>
          <w:sz w:val="20"/>
          <w:szCs w:val="20"/>
        </w:rPr>
        <w:t>d</w:t>
      </w:r>
      <w:r w:rsidRPr="6A1814FB">
        <w:rPr>
          <w:sz w:val="20"/>
          <w:szCs w:val="20"/>
        </w:rPr>
        <w:t>isadvantaged.</w:t>
      </w:r>
      <w:r w:rsidRPr="00C17B02">
        <w:rPr>
          <w:sz w:val="20"/>
          <w:szCs w:val="20"/>
        </w:rPr>
        <w:t xml:space="preserve"> Standard errors are in parentheses. </w:t>
      </w:r>
    </w:p>
    <w:p w14:paraId="0FB73C68" w14:textId="77777777" w:rsidR="00C17B02" w:rsidRDefault="00C17B02" w:rsidP="00A34523">
      <w:pPr>
        <w:spacing w:after="120"/>
        <w:rPr>
          <w:rFonts w:asciiTheme="majorHAnsi" w:hAnsiTheme="majorHAnsi" w:cstheme="majorHAnsi"/>
          <w:b/>
          <w:sz w:val="31"/>
          <w:szCs w:val="31"/>
        </w:rPr>
      </w:pPr>
    </w:p>
    <w:p w14:paraId="68FF84C1" w14:textId="72B11D20" w:rsidR="00A34523" w:rsidRPr="00FD1544" w:rsidRDefault="00A34523" w:rsidP="00A34523">
      <w:pPr>
        <w:spacing w:after="120"/>
        <w:rPr>
          <w:rFonts w:asciiTheme="majorHAnsi" w:hAnsiTheme="majorHAnsi" w:cstheme="majorHAnsi"/>
          <w:b/>
          <w:sz w:val="31"/>
          <w:szCs w:val="31"/>
        </w:rPr>
      </w:pPr>
      <w:r w:rsidRPr="00FD1544">
        <w:rPr>
          <w:rFonts w:asciiTheme="majorHAnsi" w:hAnsiTheme="majorHAnsi" w:cstheme="majorHAnsi"/>
          <w:b/>
          <w:sz w:val="31"/>
          <w:szCs w:val="31"/>
        </w:rPr>
        <w:t>Summary</w:t>
      </w:r>
    </w:p>
    <w:p w14:paraId="41F2469D" w14:textId="659ED588" w:rsidR="00546153" w:rsidRPr="00546153" w:rsidRDefault="00546153" w:rsidP="00546153">
      <w:r w:rsidRPr="00546153">
        <w:t xml:space="preserve">In 2024, the NAEP </w:t>
      </w:r>
      <w:r w:rsidR="007138E9">
        <w:t>science</w:t>
      </w:r>
      <w:r w:rsidRPr="00546153">
        <w:t xml:space="preserve"> assessment at grade 8 w</w:t>
      </w:r>
      <w:r w:rsidR="007138E9">
        <w:t>as</w:t>
      </w:r>
      <w:r w:rsidRPr="00546153">
        <w:t xml:space="preserve"> administered using SP devices and CB devices. Similarly to the mode evaluations that were done in previous transitions from paper-based to digitally based assessments, a device evaluation study was conducted to examine any possible impact of the new device on performance and provide evidence to support the continuation of trend reporting. To ensure the feasibility of the proposed linking methodology, the SP and CB instruments were administered to randomly equivalent samples of students drawn from a common population. The 2024 CB sample was linked to the 2024 SP sample using common item linking, and the combined sample results were put onto the existing trend line using the usual approach for adjacent administrations of common item linking. The device evaluation consisting of item-level analyses, Q-Q plots, </w:t>
      </w:r>
      <w:r w:rsidR="00865C2B">
        <w:t xml:space="preserve">and </w:t>
      </w:r>
      <w:r w:rsidRPr="00546153">
        <w:t>subgroup device differences supported the decision to use common item linking to link the 2024 SP and CB samples and to report results based on the combined SP and CB sample</w:t>
      </w:r>
      <w:r w:rsidR="0096644E" w:rsidRPr="00546153">
        <w:t xml:space="preserve">. </w:t>
      </w:r>
    </w:p>
    <w:p w14:paraId="068BCEE1" w14:textId="77777777" w:rsidR="00546153" w:rsidRPr="00546153" w:rsidRDefault="00546153" w:rsidP="00546153"/>
    <w:p w14:paraId="64D8A7E5" w14:textId="77777777" w:rsidR="007C0634" w:rsidRPr="00FD1544" w:rsidRDefault="007C0634" w:rsidP="007C0634">
      <w:pPr>
        <w:spacing w:after="120"/>
        <w:rPr>
          <w:rFonts w:asciiTheme="majorHAnsi" w:hAnsiTheme="majorHAnsi" w:cstheme="majorHAnsi"/>
          <w:b/>
          <w:sz w:val="31"/>
          <w:szCs w:val="31"/>
        </w:rPr>
      </w:pPr>
      <w:r w:rsidRPr="00FD1544">
        <w:rPr>
          <w:rFonts w:asciiTheme="majorHAnsi" w:hAnsiTheme="majorHAnsi" w:cstheme="majorHAnsi"/>
          <w:b/>
          <w:sz w:val="31"/>
          <w:szCs w:val="31"/>
        </w:rPr>
        <w:t xml:space="preserve">References </w:t>
      </w:r>
    </w:p>
    <w:p w14:paraId="6A755ABF" w14:textId="77777777" w:rsidR="00546153" w:rsidRPr="00546153" w:rsidRDefault="00546153" w:rsidP="00546153">
      <w:r w:rsidRPr="00546153">
        <w:t xml:space="preserve">Jewsbury, P., Finnegan, R., Xi, N., Jia, Y., Rust, K., &amp; Burg, S. (2020). </w:t>
      </w:r>
      <w:r w:rsidRPr="00546153">
        <w:rPr>
          <w:i/>
          <w:iCs/>
        </w:rPr>
        <w:t>2017 NAEP transition to digitally based assessments in mathematics and reading at grades 4 and 8: Mode evaluation study</w:t>
      </w:r>
      <w:r w:rsidRPr="00546153">
        <w:t xml:space="preserve"> [White paper]. </w:t>
      </w:r>
      <w:hyperlink r:id="rId11" w:history="1">
        <w:r w:rsidRPr="00546153">
          <w:rPr>
            <w:rStyle w:val="Hyperlink"/>
          </w:rPr>
          <w:t>https://nces.ed.gov/nationsreportcard/subject/publications/main2020/pdf/transitional_whitepaper.pdf</w:t>
        </w:r>
      </w:hyperlink>
    </w:p>
    <w:p w14:paraId="5B376DB4" w14:textId="77777777" w:rsidR="0084078E" w:rsidRPr="00546153" w:rsidRDefault="0084078E" w:rsidP="00546153"/>
    <w:sectPr w:rsidR="0084078E" w:rsidRPr="005461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55FEB" w14:textId="77777777" w:rsidR="00587599" w:rsidRDefault="00587599" w:rsidP="00546153">
      <w:pPr>
        <w:spacing w:after="0" w:line="240" w:lineRule="auto"/>
      </w:pPr>
      <w:r>
        <w:separator/>
      </w:r>
    </w:p>
  </w:endnote>
  <w:endnote w:type="continuationSeparator" w:id="0">
    <w:p w14:paraId="671A63A9" w14:textId="77777777" w:rsidR="00587599" w:rsidRDefault="00587599" w:rsidP="00546153">
      <w:pPr>
        <w:spacing w:after="0" w:line="240" w:lineRule="auto"/>
      </w:pPr>
      <w:r>
        <w:continuationSeparator/>
      </w:r>
    </w:p>
  </w:endnote>
  <w:endnote w:type="continuationNotice" w:id="1">
    <w:p w14:paraId="71BB1D93" w14:textId="77777777" w:rsidR="00587599" w:rsidRDefault="00587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D30C1" w14:textId="77777777" w:rsidR="00587599" w:rsidRDefault="00587599" w:rsidP="00546153">
      <w:pPr>
        <w:spacing w:after="0" w:line="240" w:lineRule="auto"/>
      </w:pPr>
      <w:r>
        <w:separator/>
      </w:r>
    </w:p>
  </w:footnote>
  <w:footnote w:type="continuationSeparator" w:id="0">
    <w:p w14:paraId="10A517A0" w14:textId="77777777" w:rsidR="00587599" w:rsidRDefault="00587599" w:rsidP="00546153">
      <w:pPr>
        <w:spacing w:after="0" w:line="240" w:lineRule="auto"/>
      </w:pPr>
      <w:r>
        <w:continuationSeparator/>
      </w:r>
    </w:p>
  </w:footnote>
  <w:footnote w:type="continuationNotice" w:id="1">
    <w:p w14:paraId="055FF1E4" w14:textId="77777777" w:rsidR="00587599" w:rsidRDefault="00587599">
      <w:pPr>
        <w:spacing w:after="0" w:line="240" w:lineRule="auto"/>
      </w:pPr>
    </w:p>
  </w:footnote>
  <w:footnote w:id="2">
    <w:p w14:paraId="332745FA" w14:textId="77777777" w:rsidR="00546153" w:rsidRDefault="00546153" w:rsidP="00546153">
      <w:pPr>
        <w:pStyle w:val="FootnoteText"/>
      </w:pPr>
      <w:r>
        <w:rPr>
          <w:rStyle w:val="FootnoteReference"/>
        </w:rPr>
        <w:footnoteRef/>
      </w:r>
      <w:r>
        <w:t xml:space="preserve"> Two different SP models with different screen sizes were used.</w:t>
      </w:r>
    </w:p>
  </w:footnote>
  <w:footnote w:id="3">
    <w:p w14:paraId="04B45394" w14:textId="112593BA" w:rsidR="00546153" w:rsidRDefault="00546153" w:rsidP="00546153">
      <w:pPr>
        <w:pStyle w:val="FootnoteText"/>
      </w:pPr>
      <w:r>
        <w:rPr>
          <w:rStyle w:val="FootnoteReference"/>
        </w:rPr>
        <w:footnoteRef/>
      </w:r>
      <w:r>
        <w:t xml:space="preserve"> For multiple-choice and dichotomous constructed-response items, the mean item score, or weighted percent correct, is the percentage of examinees who received a correct score on the item. For polytomous items, weighted percent correct is the sum of percentage proportion of examinees in each score category weighted by the magnitude of each score category and standardized with a maximum credit of 1. For example, if there are 3 scoring categories (0, 1, and 2) for an item and </w:t>
      </w:r>
      <w:r w:rsidR="00765D6E">
        <w:t xml:space="preserve">the </w:t>
      </w:r>
      <w:r>
        <w:t>percentage distribution for the item across three score categories is 20%, 40%, and 40%, respectively, then the weighted percent correct will be: 20 (percent)* 0 (point)/2 (maximum score) + 40 (percent)* 1 (point)/2 (maximum score) + 40* (percent)* 2 (point)/2 (maximum score) = 60 (percent). Average weighted percent correct refers to an average of weighted percent correct across items.</w:t>
      </w:r>
    </w:p>
    <w:p w14:paraId="07C2807E" w14:textId="3117B915" w:rsidR="00994C8A" w:rsidRPr="00994C8A" w:rsidRDefault="00994C8A" w:rsidP="00546153">
      <w:pPr>
        <w:pStyle w:val="FootnoteText"/>
      </w:pPr>
      <w:r>
        <w:rPr>
          <w:vertAlign w:val="superscript"/>
        </w:rPr>
        <w:t xml:space="preserve">3 </w:t>
      </w:r>
      <w:r>
        <w:t>A total of 183 items were in the assessment</w:t>
      </w:r>
      <w:r w:rsidR="0096644E">
        <w:t xml:space="preserve">. </w:t>
      </w:r>
      <w:r>
        <w:t>However, one multiple-choice item (Life Science) was dropped beginning in 2019 due to bias concerns</w:t>
      </w:r>
      <w:r w:rsidR="0096644E">
        <w:t xml:space="preserve">. </w:t>
      </w:r>
      <w:r>
        <w:t>Statistics in Table 2 are based on performance excluding this item.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8E"/>
    <w:rsid w:val="00006F0C"/>
    <w:rsid w:val="00033ECF"/>
    <w:rsid w:val="00047037"/>
    <w:rsid w:val="000713F5"/>
    <w:rsid w:val="000725B4"/>
    <w:rsid w:val="00093796"/>
    <w:rsid w:val="000A6471"/>
    <w:rsid w:val="000D2627"/>
    <w:rsid w:val="000D660B"/>
    <w:rsid w:val="000E358A"/>
    <w:rsid w:val="00106D43"/>
    <w:rsid w:val="00130A52"/>
    <w:rsid w:val="00137D86"/>
    <w:rsid w:val="001603B6"/>
    <w:rsid w:val="00162492"/>
    <w:rsid w:val="00173F18"/>
    <w:rsid w:val="0017595C"/>
    <w:rsid w:val="001A6F18"/>
    <w:rsid w:val="001B1F0F"/>
    <w:rsid w:val="001B7AA3"/>
    <w:rsid w:val="001C2A9F"/>
    <w:rsid w:val="001D7848"/>
    <w:rsid w:val="001F0BAB"/>
    <w:rsid w:val="001F1CA7"/>
    <w:rsid w:val="002166F0"/>
    <w:rsid w:val="00216C8C"/>
    <w:rsid w:val="002217D5"/>
    <w:rsid w:val="00242891"/>
    <w:rsid w:val="002554FF"/>
    <w:rsid w:val="002624AD"/>
    <w:rsid w:val="002635A3"/>
    <w:rsid w:val="002657ED"/>
    <w:rsid w:val="00296B49"/>
    <w:rsid w:val="002B0916"/>
    <w:rsid w:val="002B5DE9"/>
    <w:rsid w:val="002C3661"/>
    <w:rsid w:val="002D15D0"/>
    <w:rsid w:val="002E5232"/>
    <w:rsid w:val="002F01A3"/>
    <w:rsid w:val="002F2F5E"/>
    <w:rsid w:val="00316761"/>
    <w:rsid w:val="00330644"/>
    <w:rsid w:val="00334B88"/>
    <w:rsid w:val="00346031"/>
    <w:rsid w:val="003473BF"/>
    <w:rsid w:val="003532BE"/>
    <w:rsid w:val="00364E6D"/>
    <w:rsid w:val="00374948"/>
    <w:rsid w:val="00384FF6"/>
    <w:rsid w:val="003A0AA2"/>
    <w:rsid w:val="003B00E2"/>
    <w:rsid w:val="003B6BA6"/>
    <w:rsid w:val="003C23D9"/>
    <w:rsid w:val="003C6C0D"/>
    <w:rsid w:val="003D4E1A"/>
    <w:rsid w:val="00407F5E"/>
    <w:rsid w:val="00414DA4"/>
    <w:rsid w:val="004156C6"/>
    <w:rsid w:val="004624D4"/>
    <w:rsid w:val="00470D7C"/>
    <w:rsid w:val="0047350A"/>
    <w:rsid w:val="00484688"/>
    <w:rsid w:val="00491A04"/>
    <w:rsid w:val="00494B93"/>
    <w:rsid w:val="004C408D"/>
    <w:rsid w:val="004C7906"/>
    <w:rsid w:val="004E6BA5"/>
    <w:rsid w:val="00502AC7"/>
    <w:rsid w:val="00507576"/>
    <w:rsid w:val="0051495A"/>
    <w:rsid w:val="00515C7F"/>
    <w:rsid w:val="005270EA"/>
    <w:rsid w:val="00546153"/>
    <w:rsid w:val="00564DBA"/>
    <w:rsid w:val="00587599"/>
    <w:rsid w:val="00597174"/>
    <w:rsid w:val="005B49F2"/>
    <w:rsid w:val="005B763E"/>
    <w:rsid w:val="005C2CB9"/>
    <w:rsid w:val="005D4941"/>
    <w:rsid w:val="005E0978"/>
    <w:rsid w:val="005E1FD0"/>
    <w:rsid w:val="005F06FC"/>
    <w:rsid w:val="00652F2D"/>
    <w:rsid w:val="00654963"/>
    <w:rsid w:val="00666129"/>
    <w:rsid w:val="00673711"/>
    <w:rsid w:val="00693CD1"/>
    <w:rsid w:val="00696688"/>
    <w:rsid w:val="006A0D2C"/>
    <w:rsid w:val="006B0CDF"/>
    <w:rsid w:val="006E7F66"/>
    <w:rsid w:val="006F5319"/>
    <w:rsid w:val="007002D2"/>
    <w:rsid w:val="007138E9"/>
    <w:rsid w:val="00723474"/>
    <w:rsid w:val="00727C20"/>
    <w:rsid w:val="00751DAE"/>
    <w:rsid w:val="00762D58"/>
    <w:rsid w:val="00765D6E"/>
    <w:rsid w:val="00773869"/>
    <w:rsid w:val="00774DA0"/>
    <w:rsid w:val="00786F09"/>
    <w:rsid w:val="00793493"/>
    <w:rsid w:val="007B08E1"/>
    <w:rsid w:val="007B1921"/>
    <w:rsid w:val="007C0634"/>
    <w:rsid w:val="007C33F8"/>
    <w:rsid w:val="007D5D82"/>
    <w:rsid w:val="007D6FC6"/>
    <w:rsid w:val="007E22AE"/>
    <w:rsid w:val="007E483E"/>
    <w:rsid w:val="007E4C79"/>
    <w:rsid w:val="0080362E"/>
    <w:rsid w:val="008101E1"/>
    <w:rsid w:val="008151EB"/>
    <w:rsid w:val="00822DC0"/>
    <w:rsid w:val="0082561A"/>
    <w:rsid w:val="008276A0"/>
    <w:rsid w:val="00827EF5"/>
    <w:rsid w:val="00831352"/>
    <w:rsid w:val="0083189B"/>
    <w:rsid w:val="008344A4"/>
    <w:rsid w:val="0084078E"/>
    <w:rsid w:val="00841C21"/>
    <w:rsid w:val="0085671B"/>
    <w:rsid w:val="008604A0"/>
    <w:rsid w:val="00865C2B"/>
    <w:rsid w:val="008667AC"/>
    <w:rsid w:val="008674C1"/>
    <w:rsid w:val="00882AC9"/>
    <w:rsid w:val="00896E2F"/>
    <w:rsid w:val="008A1B67"/>
    <w:rsid w:val="008A3848"/>
    <w:rsid w:val="008B2AAF"/>
    <w:rsid w:val="008B3CCA"/>
    <w:rsid w:val="008B3E7F"/>
    <w:rsid w:val="008B584C"/>
    <w:rsid w:val="008C4350"/>
    <w:rsid w:val="008D2C7A"/>
    <w:rsid w:val="008D3CF6"/>
    <w:rsid w:val="008E033D"/>
    <w:rsid w:val="008E4A59"/>
    <w:rsid w:val="008F5D65"/>
    <w:rsid w:val="00901C78"/>
    <w:rsid w:val="00906D1B"/>
    <w:rsid w:val="009101D1"/>
    <w:rsid w:val="00910682"/>
    <w:rsid w:val="00912344"/>
    <w:rsid w:val="009126BA"/>
    <w:rsid w:val="00912950"/>
    <w:rsid w:val="009161DA"/>
    <w:rsid w:val="00923508"/>
    <w:rsid w:val="009244E7"/>
    <w:rsid w:val="00932D0E"/>
    <w:rsid w:val="0095242F"/>
    <w:rsid w:val="009535F5"/>
    <w:rsid w:val="00955752"/>
    <w:rsid w:val="009562F3"/>
    <w:rsid w:val="00956D66"/>
    <w:rsid w:val="00965AB4"/>
    <w:rsid w:val="0096644E"/>
    <w:rsid w:val="00994C8A"/>
    <w:rsid w:val="009964D2"/>
    <w:rsid w:val="009A5ECB"/>
    <w:rsid w:val="009B6BF7"/>
    <w:rsid w:val="009C2406"/>
    <w:rsid w:val="009D2AAB"/>
    <w:rsid w:val="009D2ABC"/>
    <w:rsid w:val="009D71F0"/>
    <w:rsid w:val="009F0E5C"/>
    <w:rsid w:val="009F3BE2"/>
    <w:rsid w:val="009F4453"/>
    <w:rsid w:val="00A14F2E"/>
    <w:rsid w:val="00A21DE7"/>
    <w:rsid w:val="00A24568"/>
    <w:rsid w:val="00A34523"/>
    <w:rsid w:val="00A51933"/>
    <w:rsid w:val="00A927B7"/>
    <w:rsid w:val="00AB0EE5"/>
    <w:rsid w:val="00AD5051"/>
    <w:rsid w:val="00AE30E5"/>
    <w:rsid w:val="00AE541D"/>
    <w:rsid w:val="00AE5A75"/>
    <w:rsid w:val="00AF1B76"/>
    <w:rsid w:val="00AF2483"/>
    <w:rsid w:val="00B027A2"/>
    <w:rsid w:val="00B25929"/>
    <w:rsid w:val="00B263E3"/>
    <w:rsid w:val="00B33B15"/>
    <w:rsid w:val="00B659AA"/>
    <w:rsid w:val="00B66F4A"/>
    <w:rsid w:val="00BA0BA3"/>
    <w:rsid w:val="00BA2D4C"/>
    <w:rsid w:val="00BB2AC6"/>
    <w:rsid w:val="00BF3AB1"/>
    <w:rsid w:val="00C01543"/>
    <w:rsid w:val="00C16694"/>
    <w:rsid w:val="00C17B02"/>
    <w:rsid w:val="00C24C0F"/>
    <w:rsid w:val="00C54447"/>
    <w:rsid w:val="00C70ACD"/>
    <w:rsid w:val="00C84862"/>
    <w:rsid w:val="00C9627D"/>
    <w:rsid w:val="00CA629B"/>
    <w:rsid w:val="00CB2583"/>
    <w:rsid w:val="00CC60DB"/>
    <w:rsid w:val="00CE0DAE"/>
    <w:rsid w:val="00CF13A9"/>
    <w:rsid w:val="00D37EDA"/>
    <w:rsid w:val="00D55C9C"/>
    <w:rsid w:val="00D66F1A"/>
    <w:rsid w:val="00DB5754"/>
    <w:rsid w:val="00DD1E8D"/>
    <w:rsid w:val="00DD3CD6"/>
    <w:rsid w:val="00DE76CA"/>
    <w:rsid w:val="00DF1D48"/>
    <w:rsid w:val="00E0259D"/>
    <w:rsid w:val="00E07E40"/>
    <w:rsid w:val="00E21A6A"/>
    <w:rsid w:val="00E304ED"/>
    <w:rsid w:val="00E60859"/>
    <w:rsid w:val="00E679E9"/>
    <w:rsid w:val="00EA54DD"/>
    <w:rsid w:val="00EB02F8"/>
    <w:rsid w:val="00EB17A1"/>
    <w:rsid w:val="00EB2F6D"/>
    <w:rsid w:val="00EC363F"/>
    <w:rsid w:val="00ED0F33"/>
    <w:rsid w:val="00ED0F44"/>
    <w:rsid w:val="00ED4476"/>
    <w:rsid w:val="00EE64A2"/>
    <w:rsid w:val="00F01A57"/>
    <w:rsid w:val="00F07568"/>
    <w:rsid w:val="00F30FE9"/>
    <w:rsid w:val="00F45E3F"/>
    <w:rsid w:val="00F5065D"/>
    <w:rsid w:val="00F5114D"/>
    <w:rsid w:val="00F51F49"/>
    <w:rsid w:val="00F75551"/>
    <w:rsid w:val="00FB42B7"/>
    <w:rsid w:val="00FD2922"/>
    <w:rsid w:val="056C38D4"/>
    <w:rsid w:val="0641B20C"/>
    <w:rsid w:val="07797AEB"/>
    <w:rsid w:val="0942A486"/>
    <w:rsid w:val="09AE25F4"/>
    <w:rsid w:val="09B7093A"/>
    <w:rsid w:val="0B657432"/>
    <w:rsid w:val="1027A39E"/>
    <w:rsid w:val="1117BCA8"/>
    <w:rsid w:val="116A0463"/>
    <w:rsid w:val="12BB1D62"/>
    <w:rsid w:val="16D5DFB7"/>
    <w:rsid w:val="170FD632"/>
    <w:rsid w:val="174E83C2"/>
    <w:rsid w:val="1983D0E3"/>
    <w:rsid w:val="198629CE"/>
    <w:rsid w:val="19D368D1"/>
    <w:rsid w:val="1C056FEA"/>
    <w:rsid w:val="1C0E9B89"/>
    <w:rsid w:val="1D1B6CDD"/>
    <w:rsid w:val="1EA02149"/>
    <w:rsid w:val="1EAB8FFB"/>
    <w:rsid w:val="1F603839"/>
    <w:rsid w:val="23315072"/>
    <w:rsid w:val="234DF126"/>
    <w:rsid w:val="2377F03A"/>
    <w:rsid w:val="2488C715"/>
    <w:rsid w:val="2542231D"/>
    <w:rsid w:val="272233D3"/>
    <w:rsid w:val="290080CA"/>
    <w:rsid w:val="2A08FD0A"/>
    <w:rsid w:val="2A26A6FE"/>
    <w:rsid w:val="2B6C71F4"/>
    <w:rsid w:val="2CA6D15D"/>
    <w:rsid w:val="2CFA1F08"/>
    <w:rsid w:val="3220AC07"/>
    <w:rsid w:val="33307D84"/>
    <w:rsid w:val="35E89963"/>
    <w:rsid w:val="363AD45E"/>
    <w:rsid w:val="39E74053"/>
    <w:rsid w:val="3E68FF20"/>
    <w:rsid w:val="41F96ADC"/>
    <w:rsid w:val="42196422"/>
    <w:rsid w:val="4412013C"/>
    <w:rsid w:val="46080C22"/>
    <w:rsid w:val="47B21C9F"/>
    <w:rsid w:val="4AEC5915"/>
    <w:rsid w:val="4E6BF8D8"/>
    <w:rsid w:val="50A190DF"/>
    <w:rsid w:val="5138ACF3"/>
    <w:rsid w:val="524C9E4A"/>
    <w:rsid w:val="52AD1CC8"/>
    <w:rsid w:val="560D15E7"/>
    <w:rsid w:val="5A7EBC79"/>
    <w:rsid w:val="5AD1D3C0"/>
    <w:rsid w:val="5B61A1E5"/>
    <w:rsid w:val="5BC12DAA"/>
    <w:rsid w:val="5C08F658"/>
    <w:rsid w:val="5FD98453"/>
    <w:rsid w:val="62919FDF"/>
    <w:rsid w:val="63A21AC2"/>
    <w:rsid w:val="63E7E60A"/>
    <w:rsid w:val="64236EC5"/>
    <w:rsid w:val="6437D7A3"/>
    <w:rsid w:val="651F322A"/>
    <w:rsid w:val="65FD6913"/>
    <w:rsid w:val="66C5523F"/>
    <w:rsid w:val="6A1814FB"/>
    <w:rsid w:val="6B24B177"/>
    <w:rsid w:val="6E8A4E08"/>
    <w:rsid w:val="6F578E16"/>
    <w:rsid w:val="6F918136"/>
    <w:rsid w:val="732786C4"/>
    <w:rsid w:val="73DE5D2D"/>
    <w:rsid w:val="74BC08D5"/>
    <w:rsid w:val="779B853E"/>
    <w:rsid w:val="78AF784F"/>
    <w:rsid w:val="79BCAFC2"/>
    <w:rsid w:val="7AEB2EA1"/>
    <w:rsid w:val="7BDE2295"/>
    <w:rsid w:val="7D0E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9E65"/>
  <w15:chartTrackingRefBased/>
  <w15:docId w15:val="{248463D6-BBBA-41F7-87DD-0A85C706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7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7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7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7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7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78E"/>
    <w:rPr>
      <w:rFonts w:eastAsiaTheme="majorEastAsia" w:cstheme="majorBidi"/>
      <w:color w:val="272727" w:themeColor="text1" w:themeTint="D8"/>
    </w:rPr>
  </w:style>
  <w:style w:type="paragraph" w:styleId="Title">
    <w:name w:val="Title"/>
    <w:basedOn w:val="Normal"/>
    <w:next w:val="Normal"/>
    <w:link w:val="TitleChar"/>
    <w:uiPriority w:val="10"/>
    <w:qFormat/>
    <w:rsid w:val="00840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78E"/>
    <w:pPr>
      <w:spacing w:before="160"/>
      <w:jc w:val="center"/>
    </w:pPr>
    <w:rPr>
      <w:i/>
      <w:iCs/>
      <w:color w:val="404040" w:themeColor="text1" w:themeTint="BF"/>
    </w:rPr>
  </w:style>
  <w:style w:type="character" w:customStyle="1" w:styleId="QuoteChar">
    <w:name w:val="Quote Char"/>
    <w:basedOn w:val="DefaultParagraphFont"/>
    <w:link w:val="Quote"/>
    <w:uiPriority w:val="29"/>
    <w:rsid w:val="0084078E"/>
    <w:rPr>
      <w:i/>
      <w:iCs/>
      <w:color w:val="404040" w:themeColor="text1" w:themeTint="BF"/>
    </w:rPr>
  </w:style>
  <w:style w:type="paragraph" w:styleId="ListParagraph">
    <w:name w:val="List Paragraph"/>
    <w:basedOn w:val="Normal"/>
    <w:uiPriority w:val="34"/>
    <w:qFormat/>
    <w:rsid w:val="0084078E"/>
    <w:pPr>
      <w:ind w:left="720"/>
      <w:contextualSpacing/>
    </w:pPr>
  </w:style>
  <w:style w:type="character" w:styleId="IntenseEmphasis">
    <w:name w:val="Intense Emphasis"/>
    <w:basedOn w:val="DefaultParagraphFont"/>
    <w:uiPriority w:val="21"/>
    <w:qFormat/>
    <w:rsid w:val="0084078E"/>
    <w:rPr>
      <w:i/>
      <w:iCs/>
      <w:color w:val="0F4761" w:themeColor="accent1" w:themeShade="BF"/>
    </w:rPr>
  </w:style>
  <w:style w:type="paragraph" w:styleId="IntenseQuote">
    <w:name w:val="Intense Quote"/>
    <w:basedOn w:val="Normal"/>
    <w:next w:val="Normal"/>
    <w:link w:val="IntenseQuoteChar"/>
    <w:uiPriority w:val="30"/>
    <w:qFormat/>
    <w:rsid w:val="00840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78E"/>
    <w:rPr>
      <w:i/>
      <w:iCs/>
      <w:color w:val="0F4761" w:themeColor="accent1" w:themeShade="BF"/>
    </w:rPr>
  </w:style>
  <w:style w:type="character" w:styleId="IntenseReference">
    <w:name w:val="Intense Reference"/>
    <w:basedOn w:val="DefaultParagraphFont"/>
    <w:uiPriority w:val="32"/>
    <w:qFormat/>
    <w:rsid w:val="0084078E"/>
    <w:rPr>
      <w:b/>
      <w:bCs/>
      <w:smallCaps/>
      <w:color w:val="0F4761" w:themeColor="accent1" w:themeShade="BF"/>
      <w:spacing w:val="5"/>
    </w:rPr>
  </w:style>
  <w:style w:type="paragraph" w:styleId="FootnoteText">
    <w:name w:val="footnote text"/>
    <w:basedOn w:val="Normal"/>
    <w:link w:val="FootnoteTextChar"/>
    <w:uiPriority w:val="99"/>
    <w:semiHidden/>
    <w:unhideWhenUsed/>
    <w:rsid w:val="00546153"/>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546153"/>
    <w:rPr>
      <w:kern w:val="0"/>
      <w:sz w:val="20"/>
      <w:szCs w:val="20"/>
      <w14:ligatures w14:val="none"/>
    </w:rPr>
  </w:style>
  <w:style w:type="character" w:styleId="FootnoteReference">
    <w:name w:val="footnote reference"/>
    <w:basedOn w:val="DefaultParagraphFont"/>
    <w:uiPriority w:val="99"/>
    <w:semiHidden/>
    <w:unhideWhenUsed/>
    <w:rsid w:val="00546153"/>
    <w:rPr>
      <w:vertAlign w:val="superscript"/>
    </w:rPr>
  </w:style>
  <w:style w:type="character" w:styleId="Hyperlink">
    <w:name w:val="Hyperlink"/>
    <w:basedOn w:val="DefaultParagraphFont"/>
    <w:uiPriority w:val="99"/>
    <w:unhideWhenUsed/>
    <w:rsid w:val="00546153"/>
    <w:rPr>
      <w:color w:val="467886" w:themeColor="hyperlink"/>
      <w:u w:val="single"/>
    </w:rPr>
  </w:style>
  <w:style w:type="character" w:styleId="UnresolvedMention">
    <w:name w:val="Unresolved Mention"/>
    <w:basedOn w:val="DefaultParagraphFont"/>
    <w:uiPriority w:val="99"/>
    <w:semiHidden/>
    <w:unhideWhenUsed/>
    <w:rsid w:val="00546153"/>
    <w:rPr>
      <w:color w:val="605E5C"/>
      <w:shd w:val="clear" w:color="auto" w:fill="E1DFDD"/>
    </w:rPr>
  </w:style>
  <w:style w:type="character" w:styleId="CommentReference">
    <w:name w:val="annotation reference"/>
    <w:basedOn w:val="DefaultParagraphFont"/>
    <w:uiPriority w:val="99"/>
    <w:semiHidden/>
    <w:unhideWhenUsed/>
    <w:rsid w:val="003532BE"/>
    <w:rPr>
      <w:sz w:val="16"/>
      <w:szCs w:val="16"/>
    </w:rPr>
  </w:style>
  <w:style w:type="paragraph" w:styleId="CommentText">
    <w:name w:val="annotation text"/>
    <w:basedOn w:val="Normal"/>
    <w:link w:val="CommentTextChar"/>
    <w:uiPriority w:val="99"/>
    <w:unhideWhenUsed/>
    <w:rsid w:val="003532BE"/>
    <w:pPr>
      <w:spacing w:line="240" w:lineRule="auto"/>
    </w:pPr>
    <w:rPr>
      <w:sz w:val="20"/>
      <w:szCs w:val="20"/>
    </w:rPr>
  </w:style>
  <w:style w:type="character" w:customStyle="1" w:styleId="CommentTextChar">
    <w:name w:val="Comment Text Char"/>
    <w:basedOn w:val="DefaultParagraphFont"/>
    <w:link w:val="CommentText"/>
    <w:uiPriority w:val="99"/>
    <w:rsid w:val="003532BE"/>
    <w:rPr>
      <w:sz w:val="20"/>
      <w:szCs w:val="20"/>
    </w:rPr>
  </w:style>
  <w:style w:type="paragraph" w:styleId="CommentSubject">
    <w:name w:val="annotation subject"/>
    <w:basedOn w:val="CommentText"/>
    <w:next w:val="CommentText"/>
    <w:link w:val="CommentSubjectChar"/>
    <w:uiPriority w:val="99"/>
    <w:semiHidden/>
    <w:unhideWhenUsed/>
    <w:rsid w:val="003532BE"/>
    <w:rPr>
      <w:b/>
      <w:bCs/>
    </w:rPr>
  </w:style>
  <w:style w:type="character" w:customStyle="1" w:styleId="CommentSubjectChar">
    <w:name w:val="Comment Subject Char"/>
    <w:basedOn w:val="CommentTextChar"/>
    <w:link w:val="CommentSubject"/>
    <w:uiPriority w:val="99"/>
    <w:semiHidden/>
    <w:rsid w:val="003532BE"/>
    <w:rPr>
      <w:b/>
      <w:bCs/>
      <w:sz w:val="20"/>
      <w:szCs w:val="20"/>
    </w:rPr>
  </w:style>
  <w:style w:type="paragraph" w:styleId="Header">
    <w:name w:val="header"/>
    <w:basedOn w:val="Normal"/>
    <w:link w:val="HeaderChar"/>
    <w:uiPriority w:val="99"/>
    <w:semiHidden/>
    <w:unhideWhenUsed/>
    <w:rsid w:val="00E304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04ED"/>
  </w:style>
  <w:style w:type="paragraph" w:styleId="Footer">
    <w:name w:val="footer"/>
    <w:basedOn w:val="Normal"/>
    <w:link w:val="FooterChar"/>
    <w:uiPriority w:val="99"/>
    <w:semiHidden/>
    <w:unhideWhenUsed/>
    <w:rsid w:val="00E304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04ED"/>
  </w:style>
  <w:style w:type="character" w:styleId="Mention">
    <w:name w:val="Mention"/>
    <w:basedOn w:val="DefaultParagraphFont"/>
    <w:uiPriority w:val="99"/>
    <w:unhideWhenUsed/>
    <w:rsid w:val="002624AD"/>
    <w:rPr>
      <w:color w:val="2B579A"/>
      <w:shd w:val="clear" w:color="auto" w:fill="E1DFDD"/>
    </w:rPr>
  </w:style>
  <w:style w:type="paragraph" w:styleId="Revision">
    <w:name w:val="Revision"/>
    <w:hidden/>
    <w:uiPriority w:val="99"/>
    <w:semiHidden/>
    <w:rsid w:val="00C16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405657">
      <w:bodyDiv w:val="1"/>
      <w:marLeft w:val="0"/>
      <w:marRight w:val="0"/>
      <w:marTop w:val="0"/>
      <w:marBottom w:val="0"/>
      <w:divBdr>
        <w:top w:val="none" w:sz="0" w:space="0" w:color="auto"/>
        <w:left w:val="none" w:sz="0" w:space="0" w:color="auto"/>
        <w:bottom w:val="none" w:sz="0" w:space="0" w:color="auto"/>
        <w:right w:val="none" w:sz="0" w:space="0" w:color="auto"/>
      </w:divBdr>
    </w:div>
    <w:div w:id="1221861033">
      <w:bodyDiv w:val="1"/>
      <w:marLeft w:val="0"/>
      <w:marRight w:val="0"/>
      <w:marTop w:val="0"/>
      <w:marBottom w:val="0"/>
      <w:divBdr>
        <w:top w:val="none" w:sz="0" w:space="0" w:color="auto"/>
        <w:left w:val="none" w:sz="0" w:space="0" w:color="auto"/>
        <w:bottom w:val="none" w:sz="0" w:space="0" w:color="auto"/>
        <w:right w:val="none" w:sz="0" w:space="0" w:color="auto"/>
      </w:divBdr>
    </w:div>
    <w:div w:id="1400902247">
      <w:bodyDiv w:val="1"/>
      <w:marLeft w:val="0"/>
      <w:marRight w:val="0"/>
      <w:marTop w:val="0"/>
      <w:marBottom w:val="0"/>
      <w:divBdr>
        <w:top w:val="none" w:sz="0" w:space="0" w:color="auto"/>
        <w:left w:val="none" w:sz="0" w:space="0" w:color="auto"/>
        <w:bottom w:val="none" w:sz="0" w:space="0" w:color="auto"/>
        <w:right w:val="none" w:sz="0" w:space="0" w:color="auto"/>
      </w:divBdr>
    </w:div>
    <w:div w:id="14574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nationsreportcard/subject/publications/main2020/pdf/transitional_whitepaper.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cbb50-dce1-43ad-b0a3-342ade86abf1" xsi:nil="true"/>
    <_ip_UnifiedCompliancePolicyUIAction xmlns="http://schemas.microsoft.com/sharepoint/v3" xsi:nil="true"/>
    <lcf76f155ced4ddcb4097134ff3c332f xmlns="314a293a-148a-421c-9e03-9d929aba5a9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2AC68927D7E439A5A78E5D0299ED8" ma:contentTypeVersion="16" ma:contentTypeDescription="Create a new document." ma:contentTypeScope="" ma:versionID="86709ce68ccab18291e2ea1f768cd707">
  <xsd:schema xmlns:xsd="http://www.w3.org/2001/XMLSchema" xmlns:xs="http://www.w3.org/2001/XMLSchema" xmlns:p="http://schemas.microsoft.com/office/2006/metadata/properties" xmlns:ns1="http://schemas.microsoft.com/sharepoint/v3" xmlns:ns2="314a293a-148a-421c-9e03-9d929aba5a9b" xmlns:ns3="460cbb50-dce1-43ad-b0a3-342ade86abf1" targetNamespace="http://schemas.microsoft.com/office/2006/metadata/properties" ma:root="true" ma:fieldsID="c0d5ef86e80558769ff9e522869e4e0d" ns1:_="" ns2:_="" ns3:_="">
    <xsd:import namespace="http://schemas.microsoft.com/sharepoint/v3"/>
    <xsd:import namespace="314a293a-148a-421c-9e03-9d929aba5a9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293a-148a-421c-9e03-9d929aba5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5F64C-ABBD-404F-8776-56FE598ED02A}">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www.w3.org/XML/1998/namespace"/>
    <ds:schemaRef ds:uri="314a293a-148a-421c-9e03-9d929aba5a9b"/>
    <ds:schemaRef ds:uri="460cbb50-dce1-43ad-b0a3-342ade86abf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872B8C2-C876-4816-BEB5-31F2D17EE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4a293a-148a-421c-9e03-9d929aba5a9b"/>
    <ds:schemaRef ds:uri="460cbb50-dce1-43ad-b0a3-342ade86a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3FCD5-FBB4-4473-9C05-DBE5015FF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1527</Words>
  <Characters>8710</Characters>
  <Application>Microsoft Office Word</Application>
  <DocSecurity>4</DocSecurity>
  <Lines>72</Lines>
  <Paragraphs>20</Paragraphs>
  <ScaleCrop>false</ScaleCrop>
  <Company>Educational Testing Services</Company>
  <LinksUpToDate>false</LinksUpToDate>
  <CharactersWithSpaces>10217</CharactersWithSpaces>
  <SharedDoc>false</SharedDoc>
  <HLinks>
    <vt:vector size="6" baseType="variant">
      <vt:variant>
        <vt:i4>2621467</vt:i4>
      </vt:variant>
      <vt:variant>
        <vt:i4>0</vt:i4>
      </vt:variant>
      <vt:variant>
        <vt:i4>0</vt:i4>
      </vt:variant>
      <vt:variant>
        <vt:i4>5</vt:i4>
      </vt:variant>
      <vt:variant>
        <vt:lpwstr>https://nces.ed.gov/nationsreportcard/subject/publications/main2020/pdf/transitional_whitepaper.pdf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Geijer, Adrienne</dc:creator>
  <cp:keywords/>
  <dc:description/>
  <cp:lastModifiedBy>Berger, Marc A</cp:lastModifiedBy>
  <cp:revision>165</cp:revision>
  <dcterms:created xsi:type="dcterms:W3CDTF">2025-02-12T21:16:00Z</dcterms:created>
  <dcterms:modified xsi:type="dcterms:W3CDTF">2025-04-24T15:05:00Z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0x0101009A52AC68927D7E439A5A78E5D0299ED8</vt:lpwstr>
  </property>
  <property fmtid="{D5CDD505-2E9C-101B-9397-08002B2CF9AE}" pid="3" name="MediaServiceImageTags">
    <vt:lpwstr/>
  </property>
</Properties>
</file>