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34A2" w14:textId="24A56BC9" w:rsidR="00A841B3" w:rsidRPr="00B2589A" w:rsidRDefault="00507494" w:rsidP="00B2589A">
      <w:pPr>
        <w:pStyle w:val="Heading1"/>
        <w:rPr>
          <w:rFonts w:ascii="Calibri" w:hAnsi="Calibri" w:cs="Calibri"/>
        </w:rPr>
      </w:pPr>
      <w:r w:rsidRPr="00B2589A">
        <w:rPr>
          <w:rFonts w:ascii="Calibri" w:hAnsi="Calibri" w:cs="Calibri"/>
        </w:rPr>
        <w:t xml:space="preserve">Results from </w:t>
      </w:r>
      <w:r w:rsidR="00A841B3" w:rsidRPr="00B2589A">
        <w:rPr>
          <w:rFonts w:ascii="Calibri" w:hAnsi="Calibri" w:cs="Calibri"/>
        </w:rPr>
        <w:t xml:space="preserve">Additional Quality Control Procedures to Capture Missing </w:t>
      </w:r>
      <w:r w:rsidRPr="00B2589A">
        <w:rPr>
          <w:rFonts w:ascii="Calibri" w:hAnsi="Calibri" w:cs="Calibri"/>
        </w:rPr>
        <w:t xml:space="preserve">Student </w:t>
      </w:r>
      <w:r w:rsidR="00A841B3" w:rsidRPr="00B2589A">
        <w:rPr>
          <w:rFonts w:ascii="Calibri" w:hAnsi="Calibri" w:cs="Calibri"/>
        </w:rPr>
        <w:t>Responses from the 2025 Long-Term Trend Assessments</w:t>
      </w:r>
    </w:p>
    <w:p w14:paraId="14A6749F" w14:textId="251A0225" w:rsidR="005F4A79" w:rsidRPr="00B2589A" w:rsidRDefault="002350D3">
      <w:pPr>
        <w:rPr>
          <w:rFonts w:ascii="Calibri" w:hAnsi="Calibri" w:cs="Calibri"/>
        </w:rPr>
      </w:pPr>
      <w:r w:rsidRPr="00B2589A">
        <w:rPr>
          <w:rFonts w:ascii="Calibri" w:hAnsi="Calibri" w:cs="Calibri"/>
        </w:rPr>
        <w:t>The National Center for Education Statistics (</w:t>
      </w:r>
      <w:r w:rsidR="00806E07" w:rsidRPr="00B2589A">
        <w:rPr>
          <w:rFonts w:ascii="Calibri" w:hAnsi="Calibri" w:cs="Calibri"/>
        </w:rPr>
        <w:t>NCES</w:t>
      </w:r>
      <w:r w:rsidRPr="00B2589A">
        <w:rPr>
          <w:rFonts w:ascii="Calibri" w:hAnsi="Calibri" w:cs="Calibri"/>
        </w:rPr>
        <w:t>)</w:t>
      </w:r>
      <w:r w:rsidR="00806E07" w:rsidRPr="00B2589A">
        <w:rPr>
          <w:rFonts w:ascii="Calibri" w:hAnsi="Calibri" w:cs="Calibri"/>
        </w:rPr>
        <w:t xml:space="preserve"> uses </w:t>
      </w:r>
      <w:r w:rsidR="004B0EC3" w:rsidRPr="00B2589A">
        <w:rPr>
          <w:rFonts w:ascii="Calibri" w:hAnsi="Calibri" w:cs="Calibri"/>
        </w:rPr>
        <w:t>machine-scoring de</w:t>
      </w:r>
      <w:r w:rsidR="00501871" w:rsidRPr="00B2589A">
        <w:rPr>
          <w:rFonts w:ascii="Calibri" w:hAnsi="Calibri" w:cs="Calibri"/>
        </w:rPr>
        <w:t>vices</w:t>
      </w:r>
      <w:r w:rsidR="00806E07" w:rsidRPr="00B2589A">
        <w:rPr>
          <w:rFonts w:ascii="Calibri" w:hAnsi="Calibri" w:cs="Calibri"/>
        </w:rPr>
        <w:t xml:space="preserve"> to score </w:t>
      </w:r>
      <w:r w:rsidR="00E55DDA" w:rsidRPr="00B2589A">
        <w:rPr>
          <w:rFonts w:ascii="Calibri" w:hAnsi="Calibri" w:cs="Calibri"/>
        </w:rPr>
        <w:t xml:space="preserve">multiple-choice </w:t>
      </w:r>
      <w:r w:rsidR="00306892" w:rsidRPr="00B2589A">
        <w:rPr>
          <w:rFonts w:ascii="Calibri" w:hAnsi="Calibri" w:cs="Calibri"/>
        </w:rPr>
        <w:t xml:space="preserve">items in </w:t>
      </w:r>
      <w:r w:rsidR="00806E07" w:rsidRPr="00B2589A">
        <w:rPr>
          <w:rFonts w:ascii="Calibri" w:hAnsi="Calibri" w:cs="Calibri"/>
        </w:rPr>
        <w:t>paper booklets</w:t>
      </w:r>
      <w:r w:rsidR="00EF2E3E" w:rsidRPr="00B2589A">
        <w:rPr>
          <w:rFonts w:ascii="Calibri" w:hAnsi="Calibri" w:cs="Calibri"/>
        </w:rPr>
        <w:t xml:space="preserve"> for the NAEP long-term trend assessments</w:t>
      </w:r>
      <w:r w:rsidR="00E55DDA" w:rsidRPr="00B2589A">
        <w:rPr>
          <w:rFonts w:ascii="Calibri" w:hAnsi="Calibri" w:cs="Calibri"/>
        </w:rPr>
        <w:t xml:space="preserve">. </w:t>
      </w:r>
      <w:r w:rsidR="00EF2E3E" w:rsidRPr="00B2589A">
        <w:rPr>
          <w:rFonts w:ascii="Calibri" w:hAnsi="Calibri" w:cs="Calibri"/>
        </w:rPr>
        <w:t>The</w:t>
      </w:r>
      <w:r w:rsidR="00BF7DEF" w:rsidRPr="00B2589A">
        <w:rPr>
          <w:rFonts w:ascii="Calibri" w:hAnsi="Calibri" w:cs="Calibri"/>
        </w:rPr>
        <w:t xml:space="preserve"> scoring procedures</w:t>
      </w:r>
      <w:r w:rsidR="00D06781" w:rsidRPr="00B2589A">
        <w:rPr>
          <w:rFonts w:ascii="Calibri" w:hAnsi="Calibri" w:cs="Calibri"/>
        </w:rPr>
        <w:t xml:space="preserve"> classify multiple-choice items as missing if</w:t>
      </w:r>
      <w:r w:rsidR="00182CE3" w:rsidRPr="00B2589A">
        <w:rPr>
          <w:rFonts w:ascii="Calibri" w:hAnsi="Calibri" w:cs="Calibri"/>
        </w:rPr>
        <w:t xml:space="preserve"> </w:t>
      </w:r>
      <w:r w:rsidR="00D06781" w:rsidRPr="00B2589A">
        <w:rPr>
          <w:rFonts w:ascii="Calibri" w:hAnsi="Calibri" w:cs="Calibri"/>
        </w:rPr>
        <w:t>student</w:t>
      </w:r>
      <w:r w:rsidR="00182CE3" w:rsidRPr="00B2589A">
        <w:rPr>
          <w:rFonts w:ascii="Calibri" w:hAnsi="Calibri" w:cs="Calibri"/>
        </w:rPr>
        <w:t>s</w:t>
      </w:r>
      <w:r w:rsidR="005F4A79" w:rsidRPr="00B2589A">
        <w:rPr>
          <w:rFonts w:ascii="Calibri" w:hAnsi="Calibri" w:cs="Calibri"/>
        </w:rPr>
        <w:t xml:space="preserve"> skipped the question or did not </w:t>
      </w:r>
      <w:r w:rsidR="000633A0" w:rsidRPr="00B2589A">
        <w:rPr>
          <w:rFonts w:ascii="Calibri" w:hAnsi="Calibri" w:cs="Calibri"/>
        </w:rPr>
        <w:t>properly</w:t>
      </w:r>
      <w:r w:rsidR="00182CE3" w:rsidRPr="00B2589A">
        <w:rPr>
          <w:rFonts w:ascii="Calibri" w:hAnsi="Calibri" w:cs="Calibri"/>
        </w:rPr>
        <w:t xml:space="preserve"> </w:t>
      </w:r>
      <w:r w:rsidR="005F4A79" w:rsidRPr="00B2589A">
        <w:rPr>
          <w:rFonts w:ascii="Calibri" w:hAnsi="Calibri" w:cs="Calibri"/>
        </w:rPr>
        <w:t xml:space="preserve">fill in the oval </w:t>
      </w:r>
      <w:r w:rsidR="00182CE3" w:rsidRPr="00B2589A">
        <w:rPr>
          <w:rFonts w:ascii="Calibri" w:hAnsi="Calibri" w:cs="Calibri"/>
        </w:rPr>
        <w:t>to indicate their answer</w:t>
      </w:r>
      <w:r w:rsidR="00081AB7" w:rsidRPr="00B2589A">
        <w:rPr>
          <w:rFonts w:ascii="Calibri" w:hAnsi="Calibri" w:cs="Calibri"/>
        </w:rPr>
        <w:t>s</w:t>
      </w:r>
      <w:r w:rsidR="00E95259" w:rsidRPr="00B2589A">
        <w:rPr>
          <w:rFonts w:ascii="Calibri" w:hAnsi="Calibri" w:cs="Calibri"/>
        </w:rPr>
        <w:t>.</w:t>
      </w:r>
    </w:p>
    <w:p w14:paraId="195EB952" w14:textId="24CB93A9" w:rsidR="003A1FF8" w:rsidRPr="00B2589A" w:rsidRDefault="00EF2E3E">
      <w:pPr>
        <w:rPr>
          <w:rFonts w:ascii="Calibri" w:hAnsi="Calibri" w:cs="Calibri"/>
        </w:rPr>
      </w:pPr>
      <w:r w:rsidRPr="00B2589A">
        <w:rPr>
          <w:rFonts w:ascii="Calibri" w:hAnsi="Calibri" w:cs="Calibri"/>
        </w:rPr>
        <w:t xml:space="preserve">For the 2025 </w:t>
      </w:r>
      <w:r w:rsidR="00A84584" w:rsidRPr="00B2589A">
        <w:rPr>
          <w:rFonts w:ascii="Calibri" w:hAnsi="Calibri" w:cs="Calibri"/>
        </w:rPr>
        <w:t xml:space="preserve">long-term trend </w:t>
      </w:r>
      <w:r w:rsidRPr="00B2589A">
        <w:rPr>
          <w:rFonts w:ascii="Calibri" w:hAnsi="Calibri" w:cs="Calibri"/>
        </w:rPr>
        <w:t>assessments</w:t>
      </w:r>
      <w:r w:rsidR="00E314DA" w:rsidRPr="00B2589A">
        <w:rPr>
          <w:rFonts w:ascii="Calibri" w:hAnsi="Calibri" w:cs="Calibri"/>
        </w:rPr>
        <w:t>,</w:t>
      </w:r>
      <w:r w:rsidRPr="00B2589A">
        <w:rPr>
          <w:rFonts w:ascii="Calibri" w:hAnsi="Calibri" w:cs="Calibri"/>
        </w:rPr>
        <w:t xml:space="preserve"> </w:t>
      </w:r>
      <w:r w:rsidR="00785291" w:rsidRPr="00B2589A">
        <w:rPr>
          <w:rFonts w:ascii="Calibri" w:hAnsi="Calibri" w:cs="Calibri"/>
        </w:rPr>
        <w:t>NCES quality control procedures identified elevated rates in missing responses for multiple-choice items</w:t>
      </w:r>
      <w:r w:rsidR="004B4C99" w:rsidRPr="00B2589A">
        <w:rPr>
          <w:rFonts w:ascii="Calibri" w:hAnsi="Calibri" w:cs="Calibri"/>
        </w:rPr>
        <w:t xml:space="preserve">. </w:t>
      </w:r>
      <w:r w:rsidR="005F4A79" w:rsidRPr="00B2589A">
        <w:rPr>
          <w:rFonts w:ascii="Calibri" w:hAnsi="Calibri" w:cs="Calibri"/>
        </w:rPr>
        <w:t xml:space="preserve">Upon closer inspection, NCES identified instances in which </w:t>
      </w:r>
      <w:r w:rsidR="00D92309" w:rsidRPr="00B2589A">
        <w:rPr>
          <w:rFonts w:ascii="Calibri" w:hAnsi="Calibri" w:cs="Calibri"/>
        </w:rPr>
        <w:t>students made marks in the answer section improperly (</w:t>
      </w:r>
      <w:r w:rsidR="0003796D" w:rsidRPr="00B2589A">
        <w:rPr>
          <w:rFonts w:ascii="Calibri" w:hAnsi="Calibri" w:cs="Calibri"/>
        </w:rPr>
        <w:t>for example, marking the oval with a check mark, an X, or circling it entirely instead of filling it in</w:t>
      </w:r>
      <w:r w:rsidR="00D92309" w:rsidRPr="00B2589A">
        <w:rPr>
          <w:rFonts w:ascii="Calibri" w:hAnsi="Calibri" w:cs="Calibri"/>
        </w:rPr>
        <w:t xml:space="preserve">). </w:t>
      </w:r>
      <w:r w:rsidR="00596174" w:rsidRPr="00B2589A">
        <w:rPr>
          <w:rFonts w:ascii="Calibri" w:hAnsi="Calibri" w:cs="Calibri"/>
        </w:rPr>
        <w:t>To</w:t>
      </w:r>
      <w:r w:rsidR="00D92309" w:rsidRPr="00B2589A">
        <w:rPr>
          <w:rFonts w:ascii="Calibri" w:hAnsi="Calibri" w:cs="Calibri"/>
        </w:rPr>
        <w:t xml:space="preserve"> ensure students’ intended responses were captured for scoring and analysis, thus improving </w:t>
      </w:r>
      <w:r w:rsidR="0026718F" w:rsidRPr="00B2589A">
        <w:rPr>
          <w:rFonts w:ascii="Calibri" w:hAnsi="Calibri" w:cs="Calibri"/>
        </w:rPr>
        <w:t xml:space="preserve">the measurement of student performance, </w:t>
      </w:r>
      <w:r w:rsidR="00596174" w:rsidRPr="00B2589A">
        <w:rPr>
          <w:rFonts w:ascii="Calibri" w:hAnsi="Calibri" w:cs="Calibri"/>
        </w:rPr>
        <w:t>NCES</w:t>
      </w:r>
      <w:r w:rsidR="004F3D6A" w:rsidRPr="00B2589A">
        <w:rPr>
          <w:rFonts w:ascii="Calibri" w:hAnsi="Calibri" w:cs="Calibri"/>
        </w:rPr>
        <w:t xml:space="preserve"> </w:t>
      </w:r>
      <w:r w:rsidR="004F67C1" w:rsidRPr="00B2589A">
        <w:rPr>
          <w:rFonts w:ascii="Calibri" w:hAnsi="Calibri" w:cs="Calibri"/>
        </w:rPr>
        <w:t xml:space="preserve">took steps to recover </w:t>
      </w:r>
      <w:r w:rsidR="005C1789" w:rsidRPr="00B2589A">
        <w:rPr>
          <w:rFonts w:ascii="Calibri" w:hAnsi="Calibri" w:cs="Calibri"/>
        </w:rPr>
        <w:t>and score these incorrectly marked responses</w:t>
      </w:r>
      <w:r w:rsidR="00306892" w:rsidRPr="00B2589A">
        <w:rPr>
          <w:rFonts w:ascii="Calibri" w:hAnsi="Calibri" w:cs="Calibri"/>
        </w:rPr>
        <w:t>.</w:t>
      </w:r>
      <w:r w:rsidR="003F1CDC" w:rsidRPr="00B2589A">
        <w:rPr>
          <w:rFonts w:ascii="Calibri" w:hAnsi="Calibri" w:cs="Calibri"/>
        </w:rPr>
        <w:t xml:space="preserve"> For any booklet in which more than 10 percent of the multiple-choice questions were identified as “missing,” a human coder reviewed the booklet and used their judgment to record the student’s intended responses to the multiple-choice questions. </w:t>
      </w:r>
      <w:r w:rsidR="00C83BE6" w:rsidRPr="00B2589A">
        <w:rPr>
          <w:rFonts w:ascii="Calibri" w:hAnsi="Calibri" w:cs="Calibri"/>
        </w:rPr>
        <w:t xml:space="preserve">Of the reviewed responses, </w:t>
      </w:r>
      <w:r w:rsidR="007B74BB" w:rsidRPr="00B2589A">
        <w:rPr>
          <w:rFonts w:ascii="Calibri" w:hAnsi="Calibri" w:cs="Calibri"/>
        </w:rPr>
        <w:t>f</w:t>
      </w:r>
      <w:r w:rsidR="00EC77CE" w:rsidRPr="00B2589A">
        <w:rPr>
          <w:rFonts w:ascii="Calibri" w:hAnsi="Calibri" w:cs="Calibri"/>
        </w:rPr>
        <w:t>our</w:t>
      </w:r>
      <w:r w:rsidR="000633A0" w:rsidRPr="00B2589A">
        <w:rPr>
          <w:rFonts w:ascii="Calibri" w:hAnsi="Calibri" w:cs="Calibri"/>
        </w:rPr>
        <w:t xml:space="preserve"> percent of </w:t>
      </w:r>
      <w:r w:rsidR="00D92309" w:rsidRPr="00B2589A">
        <w:rPr>
          <w:rFonts w:ascii="Calibri" w:hAnsi="Calibri" w:cs="Calibri"/>
        </w:rPr>
        <w:t xml:space="preserve">the </w:t>
      </w:r>
      <w:r w:rsidR="00C83BE6" w:rsidRPr="00B2589A">
        <w:rPr>
          <w:rFonts w:ascii="Calibri" w:hAnsi="Calibri" w:cs="Calibri"/>
        </w:rPr>
        <w:t xml:space="preserve">reading and mathematics answers </w:t>
      </w:r>
      <w:r w:rsidR="00EC77CE" w:rsidRPr="00B2589A">
        <w:rPr>
          <w:rFonts w:ascii="Calibri" w:hAnsi="Calibri" w:cs="Calibri"/>
        </w:rPr>
        <w:t xml:space="preserve">were recaptured </w:t>
      </w:r>
      <w:r w:rsidR="00C83BE6" w:rsidRPr="00B2589A">
        <w:rPr>
          <w:rFonts w:ascii="Calibri" w:hAnsi="Calibri" w:cs="Calibri"/>
        </w:rPr>
        <w:t>at age 9</w:t>
      </w:r>
      <w:r w:rsidR="00BB33D7" w:rsidRPr="00B2589A">
        <w:rPr>
          <w:rFonts w:ascii="Calibri" w:hAnsi="Calibri" w:cs="Calibri"/>
        </w:rPr>
        <w:t xml:space="preserve">. At age </w:t>
      </w:r>
      <w:r w:rsidRPr="00B2589A">
        <w:rPr>
          <w:rFonts w:ascii="Calibri" w:hAnsi="Calibri" w:cs="Calibri"/>
        </w:rPr>
        <w:t>13</w:t>
      </w:r>
      <w:r w:rsidR="00BB33D7" w:rsidRPr="00B2589A">
        <w:rPr>
          <w:rFonts w:ascii="Calibri" w:hAnsi="Calibri" w:cs="Calibri"/>
        </w:rPr>
        <w:t xml:space="preserve">, </w:t>
      </w:r>
      <w:r w:rsidR="002D18BE" w:rsidRPr="00B2589A">
        <w:rPr>
          <w:rFonts w:ascii="Calibri" w:hAnsi="Calibri" w:cs="Calibri"/>
        </w:rPr>
        <w:t>thirteen</w:t>
      </w:r>
      <w:r w:rsidRPr="00B2589A">
        <w:rPr>
          <w:rFonts w:ascii="Calibri" w:hAnsi="Calibri" w:cs="Calibri"/>
        </w:rPr>
        <w:t xml:space="preserve"> percent of</w:t>
      </w:r>
      <w:r w:rsidR="00EC77CE" w:rsidRPr="00B2589A">
        <w:rPr>
          <w:rFonts w:ascii="Calibri" w:hAnsi="Calibri" w:cs="Calibri"/>
        </w:rPr>
        <w:t xml:space="preserve"> the </w:t>
      </w:r>
      <w:r w:rsidRPr="00B2589A">
        <w:rPr>
          <w:rFonts w:ascii="Calibri" w:hAnsi="Calibri" w:cs="Calibri"/>
        </w:rPr>
        <w:t xml:space="preserve">mathematics </w:t>
      </w:r>
      <w:r w:rsidR="00C83BE6" w:rsidRPr="00B2589A">
        <w:rPr>
          <w:rFonts w:ascii="Calibri" w:hAnsi="Calibri" w:cs="Calibri"/>
        </w:rPr>
        <w:t xml:space="preserve">answers </w:t>
      </w:r>
      <w:r w:rsidR="00BB33D7" w:rsidRPr="00B2589A">
        <w:rPr>
          <w:rFonts w:ascii="Calibri" w:hAnsi="Calibri" w:cs="Calibri"/>
        </w:rPr>
        <w:t>and</w:t>
      </w:r>
      <w:r w:rsidRPr="00B2589A">
        <w:rPr>
          <w:rFonts w:ascii="Calibri" w:hAnsi="Calibri" w:cs="Calibri"/>
        </w:rPr>
        <w:t xml:space="preserve"> 17</w:t>
      </w:r>
      <w:r w:rsidR="00EC77CE" w:rsidRPr="00B2589A">
        <w:rPr>
          <w:rFonts w:ascii="Calibri" w:hAnsi="Calibri" w:cs="Calibri"/>
        </w:rPr>
        <w:t xml:space="preserve"> percent</w:t>
      </w:r>
      <w:r w:rsidRPr="00B2589A">
        <w:rPr>
          <w:rFonts w:ascii="Calibri" w:hAnsi="Calibri" w:cs="Calibri"/>
        </w:rPr>
        <w:t xml:space="preserve"> of </w:t>
      </w:r>
      <w:r w:rsidR="007B74BB" w:rsidRPr="00B2589A">
        <w:rPr>
          <w:rFonts w:ascii="Calibri" w:hAnsi="Calibri" w:cs="Calibri"/>
        </w:rPr>
        <w:t xml:space="preserve">the </w:t>
      </w:r>
      <w:r w:rsidRPr="00B2589A">
        <w:rPr>
          <w:rFonts w:ascii="Calibri" w:hAnsi="Calibri" w:cs="Calibri"/>
        </w:rPr>
        <w:t xml:space="preserve">reading </w:t>
      </w:r>
      <w:r w:rsidR="00BB33D7" w:rsidRPr="00B2589A">
        <w:rPr>
          <w:rFonts w:ascii="Calibri" w:hAnsi="Calibri" w:cs="Calibri"/>
        </w:rPr>
        <w:t>answers</w:t>
      </w:r>
      <w:r w:rsidRPr="00B2589A">
        <w:rPr>
          <w:rFonts w:ascii="Calibri" w:hAnsi="Calibri" w:cs="Calibri"/>
        </w:rPr>
        <w:t xml:space="preserve"> </w:t>
      </w:r>
      <w:r w:rsidR="007B74BB" w:rsidRPr="00B2589A">
        <w:rPr>
          <w:rFonts w:ascii="Calibri" w:hAnsi="Calibri" w:cs="Calibri"/>
        </w:rPr>
        <w:t>were recaptured</w:t>
      </w:r>
      <w:r w:rsidR="006769C3" w:rsidRPr="00B2589A">
        <w:rPr>
          <w:rFonts w:ascii="Calibri" w:hAnsi="Calibri" w:cs="Calibri"/>
        </w:rPr>
        <w:t>.</w:t>
      </w:r>
    </w:p>
    <w:p w14:paraId="0F34712E" w14:textId="4E24479B" w:rsidR="00E22B28" w:rsidRPr="00B2589A" w:rsidRDefault="00C056EE">
      <w:pPr>
        <w:rPr>
          <w:rFonts w:ascii="Calibri" w:hAnsi="Calibri" w:cs="Calibri"/>
        </w:rPr>
      </w:pPr>
      <w:r w:rsidRPr="00B2589A">
        <w:rPr>
          <w:rFonts w:ascii="Calibri" w:hAnsi="Calibri" w:cs="Calibri"/>
        </w:rPr>
        <w:t>With the inclusion of these responses, the</w:t>
      </w:r>
      <w:r w:rsidR="00600722" w:rsidRPr="00B2589A">
        <w:rPr>
          <w:rFonts w:ascii="Calibri" w:hAnsi="Calibri" w:cs="Calibri"/>
        </w:rPr>
        <w:t xml:space="preserve"> missing rates for student responses </w:t>
      </w:r>
      <w:r w:rsidR="00EC77CE" w:rsidRPr="00B2589A">
        <w:rPr>
          <w:rFonts w:ascii="Calibri" w:hAnsi="Calibri" w:cs="Calibri"/>
        </w:rPr>
        <w:t xml:space="preserve">in 2025 </w:t>
      </w:r>
      <w:r w:rsidR="00CE4FE6" w:rsidRPr="00B2589A">
        <w:rPr>
          <w:rFonts w:ascii="Calibri" w:hAnsi="Calibri" w:cs="Calibri"/>
        </w:rPr>
        <w:t xml:space="preserve">changed </w:t>
      </w:r>
      <w:r w:rsidR="00F362E9" w:rsidRPr="00B2589A">
        <w:rPr>
          <w:rFonts w:ascii="Calibri" w:hAnsi="Calibri" w:cs="Calibri"/>
        </w:rPr>
        <w:t xml:space="preserve">as shown </w:t>
      </w:r>
      <w:r w:rsidR="003515BE" w:rsidRPr="00B2589A">
        <w:rPr>
          <w:rFonts w:ascii="Calibri" w:hAnsi="Calibri" w:cs="Calibri"/>
        </w:rPr>
        <w:t>in</w:t>
      </w:r>
      <w:r w:rsidR="00EC77CE" w:rsidRPr="00B2589A">
        <w:rPr>
          <w:rFonts w:ascii="Calibri" w:hAnsi="Calibri" w:cs="Calibri"/>
        </w:rPr>
        <w:t xml:space="preserve"> T</w:t>
      </w:r>
      <w:r w:rsidR="003515BE" w:rsidRPr="00B2589A">
        <w:rPr>
          <w:rFonts w:ascii="Calibri" w:hAnsi="Calibri" w:cs="Calibri"/>
        </w:rPr>
        <w:t>able</w:t>
      </w:r>
      <w:r w:rsidR="00EC77CE" w:rsidRPr="00B2589A">
        <w:rPr>
          <w:rFonts w:ascii="Calibri" w:hAnsi="Calibri" w:cs="Calibri"/>
        </w:rPr>
        <w:t xml:space="preserve"> 1</w:t>
      </w:r>
      <w:r w:rsidR="00574AF2" w:rsidRPr="00B2589A">
        <w:rPr>
          <w:rFonts w:ascii="Calibri" w:hAnsi="Calibri" w:cs="Calibri"/>
        </w:rPr>
        <w:t xml:space="preserve"> </w:t>
      </w:r>
      <w:r w:rsidR="003515BE" w:rsidRPr="00B2589A">
        <w:rPr>
          <w:rFonts w:ascii="Calibri" w:hAnsi="Calibri" w:cs="Calibri"/>
        </w:rPr>
        <w:t>below</w:t>
      </w:r>
      <w:r w:rsidR="002D1772" w:rsidRPr="00B2589A">
        <w:rPr>
          <w:rFonts w:ascii="Calibri" w:hAnsi="Calibri" w:cs="Calibri"/>
        </w:rPr>
        <w:t>.</w:t>
      </w:r>
      <w:r w:rsidR="00596174" w:rsidRPr="00B2589A">
        <w:rPr>
          <w:rFonts w:ascii="Calibri" w:hAnsi="Calibri" w:cs="Calibri"/>
        </w:rPr>
        <w:t xml:space="preserve"> </w:t>
      </w:r>
    </w:p>
    <w:p w14:paraId="01A9D284" w14:textId="6FF8105C" w:rsidR="00484298" w:rsidRPr="00B2589A" w:rsidRDefault="00EC4561">
      <w:pPr>
        <w:rPr>
          <w:rFonts w:ascii="Calibri" w:hAnsi="Calibri" w:cs="Calibri"/>
        </w:rPr>
      </w:pPr>
      <w:r w:rsidRPr="00B2589A">
        <w:rPr>
          <w:rFonts w:ascii="Calibri" w:hAnsi="Calibri" w:cs="Calibri"/>
        </w:rPr>
        <w:t xml:space="preserve">Table </w:t>
      </w:r>
      <w:r w:rsidR="00EC77CE" w:rsidRPr="00B2589A">
        <w:rPr>
          <w:rFonts w:ascii="Calibri" w:hAnsi="Calibri" w:cs="Calibri"/>
        </w:rPr>
        <w:t>1</w:t>
      </w:r>
      <w:r w:rsidRPr="00B2589A">
        <w:rPr>
          <w:rFonts w:ascii="Calibri" w:hAnsi="Calibri" w:cs="Calibri"/>
        </w:rPr>
        <w:t xml:space="preserve">. </w:t>
      </w:r>
      <w:proofErr w:type="gramStart"/>
      <w:r w:rsidR="00CE4FE6" w:rsidRPr="00B2589A">
        <w:rPr>
          <w:rFonts w:ascii="Calibri" w:hAnsi="Calibri" w:cs="Calibri"/>
        </w:rPr>
        <w:t>Original</w:t>
      </w:r>
      <w:proofErr w:type="gramEnd"/>
      <w:r w:rsidR="00CE4FE6" w:rsidRPr="00B2589A">
        <w:rPr>
          <w:rFonts w:ascii="Calibri" w:hAnsi="Calibri" w:cs="Calibri"/>
        </w:rPr>
        <w:t xml:space="preserve"> and modified missing rates for student responses </w:t>
      </w:r>
      <w:r w:rsidR="00BE600D" w:rsidRPr="00B2589A">
        <w:rPr>
          <w:rFonts w:ascii="Calibri" w:hAnsi="Calibri" w:cs="Calibri"/>
        </w:rPr>
        <w:t>on</w:t>
      </w:r>
      <w:r w:rsidR="00CE4FE6" w:rsidRPr="00B2589A">
        <w:rPr>
          <w:rFonts w:ascii="Calibri" w:hAnsi="Calibri" w:cs="Calibri"/>
        </w:rPr>
        <w:t xml:space="preserve"> 2025 NAEP </w:t>
      </w:r>
      <w:r w:rsidR="00BE600D" w:rsidRPr="00B2589A">
        <w:rPr>
          <w:rFonts w:ascii="Calibri" w:hAnsi="Calibri" w:cs="Calibri"/>
        </w:rPr>
        <w:t>long-term trend assessments</w:t>
      </w:r>
    </w:p>
    <w:tbl>
      <w:tblPr>
        <w:tblW w:w="6773" w:type="dxa"/>
        <w:tblLook w:val="04A0" w:firstRow="1" w:lastRow="0" w:firstColumn="1" w:lastColumn="0" w:noHBand="0" w:noVBand="1"/>
      </w:tblPr>
      <w:tblGrid>
        <w:gridCol w:w="1394"/>
        <w:gridCol w:w="1338"/>
        <w:gridCol w:w="1351"/>
        <w:gridCol w:w="1339"/>
        <w:gridCol w:w="1351"/>
      </w:tblGrid>
      <w:tr w:rsidR="006A1B21" w:rsidRPr="00B2589A" w14:paraId="77E0FC97" w14:textId="77777777" w:rsidTr="00EA2D9B">
        <w:trPr>
          <w:trHeight w:val="337"/>
        </w:trPr>
        <w:tc>
          <w:tcPr>
            <w:tcW w:w="1278" w:type="dxa"/>
            <w:vMerge w:val="restart"/>
            <w:tcBorders>
              <w:top w:val="single" w:sz="8" w:space="0" w:color="E7E7E8"/>
              <w:left w:val="nil"/>
              <w:bottom w:val="single" w:sz="8" w:space="0" w:color="E7E7E8"/>
              <w:right w:val="single" w:sz="8" w:space="0" w:color="FFFFFF"/>
            </w:tcBorders>
            <w:shd w:val="clear" w:color="000000" w:fill="001871"/>
            <w:vAlign w:val="bottom"/>
            <w:hideMark/>
          </w:tcPr>
          <w:p w14:paraId="63742D73" w14:textId="531FDE54" w:rsidR="006A1B21" w:rsidRPr="00B2589A" w:rsidRDefault="006A1B21" w:rsidP="00EA2D9B">
            <w:pPr>
              <w:spacing w:after="0" w:line="240" w:lineRule="auto"/>
              <w:jc w:val="right"/>
              <w:rPr>
                <w:rFonts w:ascii="Calibri" w:eastAsia="Times New Roman" w:hAnsi="Calibri" w:cs="Calibri"/>
                <w:b/>
                <w:bCs/>
                <w:color w:val="FFFFFF"/>
                <w:kern w:val="0"/>
                <w14:ligatures w14:val="none"/>
              </w:rPr>
            </w:pPr>
            <w:r w:rsidRPr="00B2589A">
              <w:rPr>
                <w:rFonts w:ascii="Calibri" w:eastAsia="Times New Roman" w:hAnsi="Calibri" w:cs="Calibri"/>
                <w:b/>
                <w:bCs/>
                <w:color w:val="FFFFFF"/>
                <w:kern w:val="0"/>
                <w14:ligatures w14:val="none"/>
              </w:rPr>
              <w:t>A</w:t>
            </w:r>
            <w:r w:rsidR="00EA2D9B" w:rsidRPr="00B2589A">
              <w:rPr>
                <w:rFonts w:ascii="Calibri" w:eastAsia="Times New Roman" w:hAnsi="Calibri" w:cs="Calibri"/>
                <w:b/>
                <w:bCs/>
                <w:color w:val="FFFFFF"/>
                <w:kern w:val="0"/>
                <w14:ligatures w14:val="none"/>
              </w:rPr>
              <w:t>ssessment</w:t>
            </w:r>
          </w:p>
        </w:tc>
        <w:tc>
          <w:tcPr>
            <w:tcW w:w="2747" w:type="dxa"/>
            <w:gridSpan w:val="2"/>
            <w:tcBorders>
              <w:top w:val="single" w:sz="8" w:space="0" w:color="E7E7E8"/>
              <w:left w:val="nil"/>
              <w:bottom w:val="single" w:sz="8" w:space="0" w:color="FFFFFF"/>
              <w:right w:val="single" w:sz="8" w:space="0" w:color="FFFFFF"/>
            </w:tcBorders>
            <w:shd w:val="clear" w:color="000000" w:fill="001871"/>
            <w:vAlign w:val="bottom"/>
            <w:hideMark/>
          </w:tcPr>
          <w:p w14:paraId="7B007C8D" w14:textId="77777777" w:rsidR="006A1B21" w:rsidRPr="00B2589A" w:rsidRDefault="006A1B21" w:rsidP="009A27EF">
            <w:pPr>
              <w:spacing w:after="0" w:line="240" w:lineRule="auto"/>
              <w:jc w:val="center"/>
              <w:rPr>
                <w:rFonts w:ascii="Calibri" w:eastAsia="Times New Roman" w:hAnsi="Calibri" w:cs="Calibri"/>
                <w:b/>
                <w:bCs/>
                <w:color w:val="FFFFFF"/>
                <w:kern w:val="0"/>
                <w14:ligatures w14:val="none"/>
              </w:rPr>
            </w:pPr>
            <w:r w:rsidRPr="00B2589A">
              <w:rPr>
                <w:rFonts w:ascii="Calibri" w:eastAsia="Times New Roman" w:hAnsi="Calibri" w:cs="Calibri"/>
                <w:b/>
                <w:bCs/>
                <w:color w:val="FFFFFF"/>
                <w:kern w:val="0"/>
                <w14:ligatures w14:val="none"/>
              </w:rPr>
              <w:t>Reading</w:t>
            </w:r>
          </w:p>
        </w:tc>
        <w:tc>
          <w:tcPr>
            <w:tcW w:w="2748" w:type="dxa"/>
            <w:gridSpan w:val="2"/>
            <w:tcBorders>
              <w:top w:val="single" w:sz="8" w:space="0" w:color="E7E7E8"/>
              <w:left w:val="nil"/>
              <w:bottom w:val="single" w:sz="8" w:space="0" w:color="FFFFFF"/>
              <w:right w:val="nil"/>
            </w:tcBorders>
            <w:shd w:val="clear" w:color="000000" w:fill="001871"/>
            <w:vAlign w:val="bottom"/>
            <w:hideMark/>
          </w:tcPr>
          <w:p w14:paraId="5CB71D04" w14:textId="77777777" w:rsidR="006A1B21" w:rsidRPr="00B2589A" w:rsidRDefault="006A1B21" w:rsidP="009A27EF">
            <w:pPr>
              <w:spacing w:after="0" w:line="240" w:lineRule="auto"/>
              <w:jc w:val="center"/>
              <w:rPr>
                <w:rFonts w:ascii="Calibri" w:eastAsia="Times New Roman" w:hAnsi="Calibri" w:cs="Calibri"/>
                <w:b/>
                <w:bCs/>
                <w:color w:val="FFFFFF"/>
                <w:kern w:val="0"/>
                <w14:ligatures w14:val="none"/>
              </w:rPr>
            </w:pPr>
            <w:r w:rsidRPr="00B2589A">
              <w:rPr>
                <w:rFonts w:ascii="Calibri" w:eastAsia="Times New Roman" w:hAnsi="Calibri" w:cs="Calibri"/>
                <w:b/>
                <w:bCs/>
                <w:color w:val="FFFFFF"/>
                <w:kern w:val="0"/>
                <w14:ligatures w14:val="none"/>
              </w:rPr>
              <w:t>Mathematics</w:t>
            </w:r>
          </w:p>
        </w:tc>
      </w:tr>
      <w:tr w:rsidR="006A1B21" w:rsidRPr="00B2589A" w14:paraId="5AE3FE94" w14:textId="77777777" w:rsidTr="00EA2D9B">
        <w:trPr>
          <w:trHeight w:val="367"/>
        </w:trPr>
        <w:tc>
          <w:tcPr>
            <w:tcW w:w="1278" w:type="dxa"/>
            <w:vMerge/>
            <w:tcBorders>
              <w:top w:val="single" w:sz="8" w:space="0" w:color="E7E7E8"/>
              <w:left w:val="nil"/>
              <w:bottom w:val="single" w:sz="8" w:space="0" w:color="E7E7E8"/>
              <w:right w:val="single" w:sz="8" w:space="0" w:color="FFFFFF"/>
            </w:tcBorders>
            <w:vAlign w:val="bottom"/>
            <w:hideMark/>
          </w:tcPr>
          <w:p w14:paraId="0D471A67" w14:textId="77777777" w:rsidR="006A1B21" w:rsidRPr="00B2589A" w:rsidRDefault="006A1B21" w:rsidP="00EA2D9B">
            <w:pPr>
              <w:spacing w:after="0" w:line="240" w:lineRule="auto"/>
              <w:jc w:val="right"/>
              <w:rPr>
                <w:rFonts w:ascii="Calibri" w:eastAsia="Times New Roman" w:hAnsi="Calibri" w:cs="Calibri"/>
                <w:b/>
                <w:bCs/>
                <w:color w:val="FFFFFF"/>
                <w:kern w:val="0"/>
                <w14:ligatures w14:val="none"/>
              </w:rPr>
            </w:pPr>
          </w:p>
        </w:tc>
        <w:tc>
          <w:tcPr>
            <w:tcW w:w="1373" w:type="dxa"/>
            <w:tcBorders>
              <w:top w:val="nil"/>
              <w:left w:val="nil"/>
              <w:bottom w:val="nil"/>
              <w:right w:val="single" w:sz="8" w:space="0" w:color="FFFFFF"/>
            </w:tcBorders>
            <w:shd w:val="clear" w:color="000000" w:fill="001871"/>
            <w:vAlign w:val="bottom"/>
            <w:hideMark/>
          </w:tcPr>
          <w:p w14:paraId="7BCCAA78" w14:textId="77777777" w:rsidR="006A1B21" w:rsidRPr="00B2589A" w:rsidRDefault="006A1B21" w:rsidP="00EA2D9B">
            <w:pPr>
              <w:spacing w:after="0" w:line="240" w:lineRule="auto"/>
              <w:jc w:val="right"/>
              <w:rPr>
                <w:rFonts w:ascii="Calibri" w:eastAsia="Times New Roman" w:hAnsi="Calibri" w:cs="Calibri"/>
                <w:b/>
                <w:bCs/>
                <w:color w:val="FFFFFF"/>
                <w:kern w:val="0"/>
                <w14:ligatures w14:val="none"/>
              </w:rPr>
            </w:pPr>
            <w:r w:rsidRPr="00B2589A">
              <w:rPr>
                <w:rFonts w:ascii="Calibri" w:eastAsia="Times New Roman" w:hAnsi="Calibri" w:cs="Calibri"/>
                <w:b/>
                <w:bCs/>
                <w:color w:val="FFFFFF"/>
                <w:kern w:val="0"/>
                <w14:ligatures w14:val="none"/>
              </w:rPr>
              <w:t>Original</w:t>
            </w:r>
          </w:p>
        </w:tc>
        <w:tc>
          <w:tcPr>
            <w:tcW w:w="1374" w:type="dxa"/>
            <w:tcBorders>
              <w:top w:val="nil"/>
              <w:left w:val="nil"/>
              <w:bottom w:val="nil"/>
              <w:right w:val="single" w:sz="8" w:space="0" w:color="FFFFFF"/>
            </w:tcBorders>
            <w:shd w:val="clear" w:color="000000" w:fill="001871"/>
            <w:vAlign w:val="bottom"/>
            <w:hideMark/>
          </w:tcPr>
          <w:p w14:paraId="75B4C19D" w14:textId="77777777" w:rsidR="006A1B21" w:rsidRPr="00B2589A" w:rsidRDefault="006A1B21" w:rsidP="00EA2D9B">
            <w:pPr>
              <w:spacing w:after="0" w:line="240" w:lineRule="auto"/>
              <w:jc w:val="right"/>
              <w:rPr>
                <w:rFonts w:ascii="Calibri" w:eastAsia="Times New Roman" w:hAnsi="Calibri" w:cs="Calibri"/>
                <w:b/>
                <w:bCs/>
                <w:color w:val="FFFFFF"/>
                <w:kern w:val="0"/>
                <w14:ligatures w14:val="none"/>
              </w:rPr>
            </w:pPr>
            <w:r w:rsidRPr="00B2589A">
              <w:rPr>
                <w:rFonts w:ascii="Calibri" w:eastAsia="Times New Roman" w:hAnsi="Calibri" w:cs="Calibri"/>
                <w:b/>
                <w:bCs/>
                <w:color w:val="FFFFFF"/>
                <w:kern w:val="0"/>
                <w14:ligatures w14:val="none"/>
              </w:rPr>
              <w:t>Modified</w:t>
            </w:r>
          </w:p>
        </w:tc>
        <w:tc>
          <w:tcPr>
            <w:tcW w:w="1374" w:type="dxa"/>
            <w:tcBorders>
              <w:top w:val="nil"/>
              <w:left w:val="nil"/>
              <w:bottom w:val="nil"/>
              <w:right w:val="single" w:sz="8" w:space="0" w:color="FFFFFF"/>
            </w:tcBorders>
            <w:shd w:val="clear" w:color="000000" w:fill="001871"/>
            <w:vAlign w:val="bottom"/>
            <w:hideMark/>
          </w:tcPr>
          <w:p w14:paraId="3274A656" w14:textId="77777777" w:rsidR="006A1B21" w:rsidRPr="00B2589A" w:rsidRDefault="006A1B21" w:rsidP="00EA2D9B">
            <w:pPr>
              <w:spacing w:after="0" w:line="240" w:lineRule="auto"/>
              <w:jc w:val="right"/>
              <w:rPr>
                <w:rFonts w:ascii="Calibri" w:eastAsia="Times New Roman" w:hAnsi="Calibri" w:cs="Calibri"/>
                <w:b/>
                <w:bCs/>
                <w:color w:val="FFFFFF"/>
                <w:kern w:val="0"/>
                <w14:ligatures w14:val="none"/>
              </w:rPr>
            </w:pPr>
            <w:r w:rsidRPr="00B2589A">
              <w:rPr>
                <w:rFonts w:ascii="Calibri" w:eastAsia="Times New Roman" w:hAnsi="Calibri" w:cs="Calibri"/>
                <w:b/>
                <w:bCs/>
                <w:color w:val="FFFFFF"/>
                <w:kern w:val="0"/>
                <w14:ligatures w14:val="none"/>
              </w:rPr>
              <w:t>Original</w:t>
            </w:r>
          </w:p>
        </w:tc>
        <w:tc>
          <w:tcPr>
            <w:tcW w:w="1374" w:type="dxa"/>
            <w:tcBorders>
              <w:top w:val="nil"/>
              <w:left w:val="nil"/>
              <w:bottom w:val="nil"/>
              <w:right w:val="nil"/>
            </w:tcBorders>
            <w:shd w:val="clear" w:color="000000" w:fill="001871"/>
            <w:vAlign w:val="bottom"/>
            <w:hideMark/>
          </w:tcPr>
          <w:p w14:paraId="401E0649" w14:textId="77777777" w:rsidR="006A1B21" w:rsidRPr="00B2589A" w:rsidRDefault="006A1B21" w:rsidP="00EA2D9B">
            <w:pPr>
              <w:spacing w:after="0" w:line="240" w:lineRule="auto"/>
              <w:jc w:val="right"/>
              <w:rPr>
                <w:rFonts w:ascii="Calibri" w:eastAsia="Times New Roman" w:hAnsi="Calibri" w:cs="Calibri"/>
                <w:b/>
                <w:bCs/>
                <w:color w:val="FFFFFF"/>
                <w:kern w:val="0"/>
                <w14:ligatures w14:val="none"/>
              </w:rPr>
            </w:pPr>
            <w:r w:rsidRPr="00B2589A">
              <w:rPr>
                <w:rFonts w:ascii="Calibri" w:eastAsia="Times New Roman" w:hAnsi="Calibri" w:cs="Calibri"/>
                <w:b/>
                <w:bCs/>
                <w:color w:val="FFFFFF"/>
                <w:kern w:val="0"/>
                <w14:ligatures w14:val="none"/>
              </w:rPr>
              <w:t>Modified</w:t>
            </w:r>
          </w:p>
        </w:tc>
      </w:tr>
      <w:tr w:rsidR="006A1B21" w:rsidRPr="00B2589A" w14:paraId="0567560E" w14:textId="77777777" w:rsidTr="00EA2D9B">
        <w:trPr>
          <w:trHeight w:val="348"/>
        </w:trPr>
        <w:tc>
          <w:tcPr>
            <w:tcW w:w="1278" w:type="dxa"/>
            <w:tcBorders>
              <w:top w:val="nil"/>
              <w:left w:val="nil"/>
              <w:bottom w:val="single" w:sz="8" w:space="0" w:color="E7E7E8"/>
              <w:right w:val="single" w:sz="8" w:space="0" w:color="E7E7E8"/>
            </w:tcBorders>
            <w:shd w:val="clear" w:color="000000" w:fill="FFFFFF"/>
            <w:vAlign w:val="bottom"/>
            <w:hideMark/>
          </w:tcPr>
          <w:p w14:paraId="77AA485B" w14:textId="77777777" w:rsidR="006A1B21" w:rsidRPr="00B2589A" w:rsidRDefault="006A1B21" w:rsidP="00EA2D9B">
            <w:pPr>
              <w:spacing w:after="0" w:line="240" w:lineRule="auto"/>
              <w:jc w:val="right"/>
              <w:rPr>
                <w:rFonts w:ascii="Calibri" w:eastAsia="Times New Roman" w:hAnsi="Calibri" w:cs="Calibri"/>
                <w:b/>
                <w:bCs/>
                <w:color w:val="585858"/>
                <w:kern w:val="0"/>
                <w14:ligatures w14:val="none"/>
              </w:rPr>
            </w:pPr>
            <w:r w:rsidRPr="00B2589A">
              <w:rPr>
                <w:rFonts w:ascii="Calibri" w:eastAsia="Times New Roman" w:hAnsi="Calibri" w:cs="Calibri"/>
                <w:b/>
                <w:bCs/>
                <w:color w:val="585858"/>
                <w:kern w:val="0"/>
                <w14:ligatures w14:val="none"/>
              </w:rPr>
              <w:t>Age 9</w:t>
            </w:r>
          </w:p>
        </w:tc>
        <w:tc>
          <w:tcPr>
            <w:tcW w:w="1373" w:type="dxa"/>
            <w:tcBorders>
              <w:top w:val="single" w:sz="8" w:space="0" w:color="E7E7E8"/>
              <w:left w:val="nil"/>
              <w:bottom w:val="single" w:sz="8" w:space="0" w:color="E7E7E8"/>
              <w:right w:val="single" w:sz="8" w:space="0" w:color="E7E7E8"/>
            </w:tcBorders>
            <w:shd w:val="clear" w:color="000000" w:fill="FFFFFF"/>
            <w:vAlign w:val="bottom"/>
            <w:hideMark/>
          </w:tcPr>
          <w:p w14:paraId="5AA6CE08" w14:textId="77777777" w:rsidR="006A1B21" w:rsidRPr="00B2589A" w:rsidRDefault="006A1B21" w:rsidP="00EA2D9B">
            <w:pPr>
              <w:spacing w:after="0" w:line="240" w:lineRule="auto"/>
              <w:jc w:val="right"/>
              <w:rPr>
                <w:rFonts w:ascii="Calibri" w:eastAsia="Times New Roman" w:hAnsi="Calibri" w:cs="Calibri"/>
                <w:color w:val="585858"/>
                <w:kern w:val="0"/>
                <w14:ligatures w14:val="none"/>
              </w:rPr>
            </w:pPr>
            <w:r w:rsidRPr="00B2589A">
              <w:rPr>
                <w:rFonts w:ascii="Calibri" w:eastAsia="Times New Roman" w:hAnsi="Calibri" w:cs="Calibri"/>
                <w:color w:val="585858"/>
                <w:kern w:val="0"/>
                <w14:ligatures w14:val="none"/>
              </w:rPr>
              <w:t>5.7</w:t>
            </w:r>
          </w:p>
        </w:tc>
        <w:tc>
          <w:tcPr>
            <w:tcW w:w="1374" w:type="dxa"/>
            <w:tcBorders>
              <w:top w:val="single" w:sz="8" w:space="0" w:color="E7E7E8"/>
              <w:left w:val="nil"/>
              <w:bottom w:val="single" w:sz="8" w:space="0" w:color="E7E7E8"/>
              <w:right w:val="single" w:sz="8" w:space="0" w:color="E7E7E8"/>
            </w:tcBorders>
            <w:shd w:val="clear" w:color="000000" w:fill="FFFFFF"/>
            <w:vAlign w:val="bottom"/>
            <w:hideMark/>
          </w:tcPr>
          <w:p w14:paraId="4C3AF63A" w14:textId="77777777" w:rsidR="006A1B21" w:rsidRPr="00B2589A" w:rsidRDefault="006A1B21" w:rsidP="00EA2D9B">
            <w:pPr>
              <w:spacing w:after="0" w:line="240" w:lineRule="auto"/>
              <w:jc w:val="right"/>
              <w:rPr>
                <w:rFonts w:ascii="Calibri" w:eastAsia="Times New Roman" w:hAnsi="Calibri" w:cs="Calibri"/>
                <w:color w:val="585858"/>
                <w:kern w:val="0"/>
                <w14:ligatures w14:val="none"/>
              </w:rPr>
            </w:pPr>
            <w:r w:rsidRPr="00B2589A">
              <w:rPr>
                <w:rFonts w:ascii="Calibri" w:eastAsia="Times New Roman" w:hAnsi="Calibri" w:cs="Calibri"/>
                <w:color w:val="585858"/>
                <w:kern w:val="0"/>
                <w14:ligatures w14:val="none"/>
              </w:rPr>
              <w:t>5.2</w:t>
            </w:r>
          </w:p>
        </w:tc>
        <w:tc>
          <w:tcPr>
            <w:tcW w:w="1374" w:type="dxa"/>
            <w:tcBorders>
              <w:top w:val="single" w:sz="8" w:space="0" w:color="E7E7E8"/>
              <w:left w:val="nil"/>
              <w:bottom w:val="single" w:sz="8" w:space="0" w:color="E7E7E8"/>
              <w:right w:val="single" w:sz="8" w:space="0" w:color="E7E7E8"/>
            </w:tcBorders>
            <w:shd w:val="clear" w:color="000000" w:fill="FFFFFF"/>
            <w:vAlign w:val="bottom"/>
            <w:hideMark/>
          </w:tcPr>
          <w:p w14:paraId="0D04E970" w14:textId="77777777" w:rsidR="006A1B21" w:rsidRPr="00B2589A" w:rsidRDefault="006A1B21" w:rsidP="00EA2D9B">
            <w:pPr>
              <w:spacing w:after="0" w:line="240" w:lineRule="auto"/>
              <w:jc w:val="right"/>
              <w:rPr>
                <w:rFonts w:ascii="Calibri" w:eastAsia="Times New Roman" w:hAnsi="Calibri" w:cs="Calibri"/>
                <w:color w:val="585858"/>
                <w:kern w:val="0"/>
                <w14:ligatures w14:val="none"/>
              </w:rPr>
            </w:pPr>
            <w:r w:rsidRPr="00B2589A">
              <w:rPr>
                <w:rFonts w:ascii="Calibri" w:eastAsia="Times New Roman" w:hAnsi="Calibri" w:cs="Calibri"/>
                <w:color w:val="585858"/>
                <w:kern w:val="0"/>
                <w14:ligatures w14:val="none"/>
              </w:rPr>
              <w:t>11</w:t>
            </w:r>
          </w:p>
        </w:tc>
        <w:tc>
          <w:tcPr>
            <w:tcW w:w="1374" w:type="dxa"/>
            <w:tcBorders>
              <w:top w:val="single" w:sz="8" w:space="0" w:color="E7E7E8"/>
              <w:left w:val="nil"/>
              <w:bottom w:val="single" w:sz="8" w:space="0" w:color="E7E7E8"/>
              <w:right w:val="single" w:sz="8" w:space="0" w:color="E7E7E8"/>
            </w:tcBorders>
            <w:shd w:val="clear" w:color="000000" w:fill="FFFFFF"/>
            <w:vAlign w:val="bottom"/>
            <w:hideMark/>
          </w:tcPr>
          <w:p w14:paraId="107C236A" w14:textId="77777777" w:rsidR="006A1B21" w:rsidRPr="00B2589A" w:rsidRDefault="006A1B21" w:rsidP="00EA2D9B">
            <w:pPr>
              <w:spacing w:after="0" w:line="240" w:lineRule="auto"/>
              <w:jc w:val="right"/>
              <w:rPr>
                <w:rFonts w:ascii="Calibri" w:eastAsia="Times New Roman" w:hAnsi="Calibri" w:cs="Calibri"/>
                <w:color w:val="585858"/>
                <w:kern w:val="0"/>
                <w14:ligatures w14:val="none"/>
              </w:rPr>
            </w:pPr>
            <w:r w:rsidRPr="00B2589A">
              <w:rPr>
                <w:rFonts w:ascii="Calibri" w:eastAsia="Times New Roman" w:hAnsi="Calibri" w:cs="Calibri"/>
                <w:color w:val="585858"/>
                <w:kern w:val="0"/>
                <w14:ligatures w14:val="none"/>
              </w:rPr>
              <w:t>10.5</w:t>
            </w:r>
          </w:p>
        </w:tc>
      </w:tr>
      <w:tr w:rsidR="006A1B21" w:rsidRPr="00B2589A" w14:paraId="1D311F9F" w14:textId="77777777" w:rsidTr="00EA2D9B">
        <w:trPr>
          <w:trHeight w:val="348"/>
        </w:trPr>
        <w:tc>
          <w:tcPr>
            <w:tcW w:w="1278" w:type="dxa"/>
            <w:tcBorders>
              <w:top w:val="nil"/>
              <w:left w:val="nil"/>
              <w:bottom w:val="single" w:sz="8" w:space="0" w:color="585858"/>
              <w:right w:val="single" w:sz="8" w:space="0" w:color="E7E7E8"/>
            </w:tcBorders>
            <w:shd w:val="clear" w:color="000000" w:fill="FFFFFF"/>
            <w:vAlign w:val="bottom"/>
            <w:hideMark/>
          </w:tcPr>
          <w:p w14:paraId="685D0191" w14:textId="77777777" w:rsidR="006A1B21" w:rsidRPr="00B2589A" w:rsidRDefault="006A1B21" w:rsidP="00EA2D9B">
            <w:pPr>
              <w:spacing w:after="0" w:line="240" w:lineRule="auto"/>
              <w:jc w:val="right"/>
              <w:rPr>
                <w:rFonts w:ascii="Calibri" w:eastAsia="Times New Roman" w:hAnsi="Calibri" w:cs="Calibri"/>
                <w:b/>
                <w:bCs/>
                <w:color w:val="585858"/>
                <w:kern w:val="0"/>
                <w14:ligatures w14:val="none"/>
              </w:rPr>
            </w:pPr>
            <w:r w:rsidRPr="00B2589A">
              <w:rPr>
                <w:rFonts w:ascii="Calibri" w:eastAsia="Times New Roman" w:hAnsi="Calibri" w:cs="Calibri"/>
                <w:b/>
                <w:bCs/>
                <w:color w:val="585858"/>
                <w:kern w:val="0"/>
                <w14:ligatures w14:val="none"/>
              </w:rPr>
              <w:t>Age 13</w:t>
            </w:r>
          </w:p>
        </w:tc>
        <w:tc>
          <w:tcPr>
            <w:tcW w:w="1373" w:type="dxa"/>
            <w:tcBorders>
              <w:top w:val="nil"/>
              <w:left w:val="nil"/>
              <w:bottom w:val="single" w:sz="8" w:space="0" w:color="585858"/>
              <w:right w:val="single" w:sz="8" w:space="0" w:color="E7E7E8"/>
            </w:tcBorders>
            <w:shd w:val="clear" w:color="000000" w:fill="FFFFFF"/>
            <w:vAlign w:val="bottom"/>
            <w:hideMark/>
          </w:tcPr>
          <w:p w14:paraId="53121781" w14:textId="77777777" w:rsidR="006A1B21" w:rsidRPr="00B2589A" w:rsidRDefault="006A1B21" w:rsidP="00EA2D9B">
            <w:pPr>
              <w:spacing w:after="0" w:line="240" w:lineRule="auto"/>
              <w:jc w:val="right"/>
              <w:rPr>
                <w:rFonts w:ascii="Calibri" w:eastAsia="Times New Roman" w:hAnsi="Calibri" w:cs="Calibri"/>
                <w:color w:val="585858"/>
                <w:kern w:val="0"/>
                <w14:ligatures w14:val="none"/>
              </w:rPr>
            </w:pPr>
            <w:r w:rsidRPr="00B2589A">
              <w:rPr>
                <w:rFonts w:ascii="Calibri" w:eastAsia="Times New Roman" w:hAnsi="Calibri" w:cs="Calibri"/>
                <w:color w:val="585858"/>
                <w:kern w:val="0"/>
                <w14:ligatures w14:val="none"/>
              </w:rPr>
              <w:t>7.3</w:t>
            </w:r>
          </w:p>
        </w:tc>
        <w:tc>
          <w:tcPr>
            <w:tcW w:w="1374" w:type="dxa"/>
            <w:tcBorders>
              <w:top w:val="nil"/>
              <w:left w:val="nil"/>
              <w:bottom w:val="single" w:sz="8" w:space="0" w:color="585858"/>
              <w:right w:val="single" w:sz="8" w:space="0" w:color="E7E7E8"/>
            </w:tcBorders>
            <w:shd w:val="clear" w:color="000000" w:fill="FFFFFF"/>
            <w:vAlign w:val="bottom"/>
            <w:hideMark/>
          </w:tcPr>
          <w:p w14:paraId="781C850E" w14:textId="77777777" w:rsidR="006A1B21" w:rsidRPr="00B2589A" w:rsidRDefault="006A1B21" w:rsidP="00EA2D9B">
            <w:pPr>
              <w:spacing w:after="0" w:line="240" w:lineRule="auto"/>
              <w:jc w:val="right"/>
              <w:rPr>
                <w:rFonts w:ascii="Calibri" w:eastAsia="Times New Roman" w:hAnsi="Calibri" w:cs="Calibri"/>
                <w:color w:val="585858"/>
                <w:kern w:val="0"/>
                <w14:ligatures w14:val="none"/>
              </w:rPr>
            </w:pPr>
            <w:r w:rsidRPr="00B2589A">
              <w:rPr>
                <w:rFonts w:ascii="Calibri" w:eastAsia="Times New Roman" w:hAnsi="Calibri" w:cs="Calibri"/>
                <w:color w:val="585858"/>
                <w:kern w:val="0"/>
                <w14:ligatures w14:val="none"/>
              </w:rPr>
              <w:t>4.7</w:t>
            </w:r>
          </w:p>
        </w:tc>
        <w:tc>
          <w:tcPr>
            <w:tcW w:w="1374" w:type="dxa"/>
            <w:tcBorders>
              <w:top w:val="nil"/>
              <w:left w:val="nil"/>
              <w:bottom w:val="single" w:sz="8" w:space="0" w:color="585858"/>
              <w:right w:val="single" w:sz="8" w:space="0" w:color="E7E7E8"/>
            </w:tcBorders>
            <w:shd w:val="clear" w:color="000000" w:fill="FFFFFF"/>
            <w:vAlign w:val="bottom"/>
            <w:hideMark/>
          </w:tcPr>
          <w:p w14:paraId="79295814" w14:textId="77777777" w:rsidR="006A1B21" w:rsidRPr="00B2589A" w:rsidRDefault="006A1B21" w:rsidP="00EA2D9B">
            <w:pPr>
              <w:spacing w:after="0" w:line="240" w:lineRule="auto"/>
              <w:jc w:val="right"/>
              <w:rPr>
                <w:rFonts w:ascii="Calibri" w:eastAsia="Times New Roman" w:hAnsi="Calibri" w:cs="Calibri"/>
                <w:color w:val="585858"/>
                <w:kern w:val="0"/>
                <w14:ligatures w14:val="none"/>
              </w:rPr>
            </w:pPr>
            <w:r w:rsidRPr="00B2589A">
              <w:rPr>
                <w:rFonts w:ascii="Calibri" w:eastAsia="Times New Roman" w:hAnsi="Calibri" w:cs="Calibri"/>
                <w:color w:val="585858"/>
                <w:kern w:val="0"/>
                <w14:ligatures w14:val="none"/>
              </w:rPr>
              <w:t>9.5</w:t>
            </w:r>
          </w:p>
        </w:tc>
        <w:tc>
          <w:tcPr>
            <w:tcW w:w="1374" w:type="dxa"/>
            <w:tcBorders>
              <w:top w:val="nil"/>
              <w:left w:val="nil"/>
              <w:bottom w:val="single" w:sz="8" w:space="0" w:color="585858"/>
              <w:right w:val="single" w:sz="8" w:space="0" w:color="E7E7E8"/>
            </w:tcBorders>
            <w:shd w:val="clear" w:color="000000" w:fill="FFFFFF"/>
            <w:vAlign w:val="bottom"/>
            <w:hideMark/>
          </w:tcPr>
          <w:p w14:paraId="4224E9FB" w14:textId="77777777" w:rsidR="006A1B21" w:rsidRPr="00B2589A" w:rsidRDefault="006A1B21" w:rsidP="00EA2D9B">
            <w:pPr>
              <w:spacing w:after="0" w:line="240" w:lineRule="auto"/>
              <w:jc w:val="right"/>
              <w:rPr>
                <w:rFonts w:ascii="Calibri" w:eastAsia="Times New Roman" w:hAnsi="Calibri" w:cs="Calibri"/>
                <w:color w:val="585858"/>
                <w:kern w:val="0"/>
                <w14:ligatures w14:val="none"/>
              </w:rPr>
            </w:pPr>
            <w:r w:rsidRPr="00B2589A">
              <w:rPr>
                <w:rFonts w:ascii="Calibri" w:eastAsia="Times New Roman" w:hAnsi="Calibri" w:cs="Calibri"/>
                <w:color w:val="585858"/>
                <w:kern w:val="0"/>
                <w14:ligatures w14:val="none"/>
              </w:rPr>
              <w:t>7.3</w:t>
            </w:r>
          </w:p>
        </w:tc>
      </w:tr>
    </w:tbl>
    <w:p w14:paraId="6B6F64F4" w14:textId="77777777" w:rsidR="00C4548C" w:rsidRPr="00B2589A" w:rsidRDefault="00C4548C">
      <w:pPr>
        <w:rPr>
          <w:rFonts w:ascii="Calibri" w:hAnsi="Calibri" w:cs="Calibri"/>
        </w:rPr>
      </w:pPr>
    </w:p>
    <w:p w14:paraId="12DF409B" w14:textId="1A988B04" w:rsidR="00F51594" w:rsidRPr="00B2589A" w:rsidRDefault="00F51594">
      <w:pPr>
        <w:rPr>
          <w:rFonts w:ascii="Calibri" w:hAnsi="Calibri" w:cs="Calibri"/>
        </w:rPr>
      </w:pPr>
      <w:r w:rsidRPr="00B2589A">
        <w:rPr>
          <w:rFonts w:ascii="Calibri" w:hAnsi="Calibri" w:cs="Calibri"/>
        </w:rPr>
        <w:t xml:space="preserve">NCES evaluated the precision of the 2025 results before and after the additional scoring activities. With the inclusion of the missing responses, the estimates for average scores—overall and for individual student groups—did not differ significantly. </w:t>
      </w:r>
    </w:p>
    <w:p w14:paraId="59114F5E" w14:textId="78F12DC4" w:rsidR="00EC77CE" w:rsidRPr="00B2589A" w:rsidRDefault="00EC77CE">
      <w:pPr>
        <w:rPr>
          <w:rFonts w:ascii="Calibri" w:hAnsi="Calibri" w:cs="Calibri"/>
        </w:rPr>
      </w:pPr>
      <w:r w:rsidRPr="00B2589A">
        <w:rPr>
          <w:rFonts w:ascii="Calibri" w:hAnsi="Calibri" w:cs="Calibri"/>
        </w:rPr>
        <w:lastRenderedPageBreak/>
        <w:t xml:space="preserve">NCES will continue to rely on its quality control procedures and to monitor student response patterns in subsequent administrations of the NAEP long-term trend assessments. </w:t>
      </w:r>
    </w:p>
    <w:p w14:paraId="1B602A60" w14:textId="7947016F" w:rsidR="00F87A4D" w:rsidRPr="00B2589A" w:rsidRDefault="00F87A4D">
      <w:pPr>
        <w:rPr>
          <w:rFonts w:ascii="Calibri" w:hAnsi="Calibri" w:cs="Calibri"/>
        </w:rPr>
      </w:pPr>
    </w:p>
    <w:sectPr w:rsidR="00F87A4D" w:rsidRPr="00B258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9E89" w14:textId="77777777" w:rsidR="00C168D8" w:rsidRDefault="00C168D8" w:rsidP="005E4F5D">
      <w:pPr>
        <w:spacing w:after="0" w:line="240" w:lineRule="auto"/>
      </w:pPr>
      <w:r>
        <w:separator/>
      </w:r>
    </w:p>
  </w:endnote>
  <w:endnote w:type="continuationSeparator" w:id="0">
    <w:p w14:paraId="408EFDC0" w14:textId="77777777" w:rsidR="00C168D8" w:rsidRDefault="00C168D8" w:rsidP="005E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F52A" w14:textId="77777777" w:rsidR="00C168D8" w:rsidRDefault="00C168D8" w:rsidP="005E4F5D">
      <w:pPr>
        <w:spacing w:after="0" w:line="240" w:lineRule="auto"/>
      </w:pPr>
      <w:r>
        <w:separator/>
      </w:r>
    </w:p>
  </w:footnote>
  <w:footnote w:type="continuationSeparator" w:id="0">
    <w:p w14:paraId="42BA0E00" w14:textId="77777777" w:rsidR="00C168D8" w:rsidRDefault="00C168D8" w:rsidP="005E4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98"/>
    <w:rsid w:val="00030AB6"/>
    <w:rsid w:val="0003796D"/>
    <w:rsid w:val="00045369"/>
    <w:rsid w:val="000602EC"/>
    <w:rsid w:val="00061AA1"/>
    <w:rsid w:val="000633A0"/>
    <w:rsid w:val="00072B27"/>
    <w:rsid w:val="00081AB7"/>
    <w:rsid w:val="000C00D0"/>
    <w:rsid w:val="000C02CF"/>
    <w:rsid w:val="000D55A3"/>
    <w:rsid w:val="000E04CF"/>
    <w:rsid w:val="000E38DB"/>
    <w:rsid w:val="00104B1E"/>
    <w:rsid w:val="00115D8D"/>
    <w:rsid w:val="00115F4C"/>
    <w:rsid w:val="001372B0"/>
    <w:rsid w:val="00171106"/>
    <w:rsid w:val="001745B1"/>
    <w:rsid w:val="001829BE"/>
    <w:rsid w:val="00182CE3"/>
    <w:rsid w:val="00184158"/>
    <w:rsid w:val="001966C3"/>
    <w:rsid w:val="001A50F1"/>
    <w:rsid w:val="001A65E7"/>
    <w:rsid w:val="001C0FEC"/>
    <w:rsid w:val="001D4F0B"/>
    <w:rsid w:val="001D6E20"/>
    <w:rsid w:val="001E61E6"/>
    <w:rsid w:val="001F15FD"/>
    <w:rsid w:val="00204FE0"/>
    <w:rsid w:val="00213A6B"/>
    <w:rsid w:val="00230E3F"/>
    <w:rsid w:val="002350D3"/>
    <w:rsid w:val="00240B73"/>
    <w:rsid w:val="0024553E"/>
    <w:rsid w:val="00261AA2"/>
    <w:rsid w:val="00262AAA"/>
    <w:rsid w:val="0026718F"/>
    <w:rsid w:val="002708F8"/>
    <w:rsid w:val="002939CB"/>
    <w:rsid w:val="002A600A"/>
    <w:rsid w:val="002B766C"/>
    <w:rsid w:val="002D1772"/>
    <w:rsid w:val="002D18BE"/>
    <w:rsid w:val="002D450D"/>
    <w:rsid w:val="002D5B1D"/>
    <w:rsid w:val="002D6E39"/>
    <w:rsid w:val="002E16B3"/>
    <w:rsid w:val="002F02A6"/>
    <w:rsid w:val="002F254C"/>
    <w:rsid w:val="00305169"/>
    <w:rsid w:val="00306892"/>
    <w:rsid w:val="003324D2"/>
    <w:rsid w:val="00334319"/>
    <w:rsid w:val="003353B0"/>
    <w:rsid w:val="003515BE"/>
    <w:rsid w:val="00356745"/>
    <w:rsid w:val="0037079A"/>
    <w:rsid w:val="00390B49"/>
    <w:rsid w:val="003A13D7"/>
    <w:rsid w:val="003A1FF8"/>
    <w:rsid w:val="003A5773"/>
    <w:rsid w:val="003A7A0F"/>
    <w:rsid w:val="003C4D9A"/>
    <w:rsid w:val="003F1CDC"/>
    <w:rsid w:val="0042449A"/>
    <w:rsid w:val="00465038"/>
    <w:rsid w:val="00484298"/>
    <w:rsid w:val="00491419"/>
    <w:rsid w:val="0049630A"/>
    <w:rsid w:val="004B0EC3"/>
    <w:rsid w:val="004B4C99"/>
    <w:rsid w:val="004B78E0"/>
    <w:rsid w:val="004C1C5A"/>
    <w:rsid w:val="004D6465"/>
    <w:rsid w:val="004F3D6A"/>
    <w:rsid w:val="004F67C1"/>
    <w:rsid w:val="00501871"/>
    <w:rsid w:val="00507494"/>
    <w:rsid w:val="00522DDC"/>
    <w:rsid w:val="00534E4D"/>
    <w:rsid w:val="00535542"/>
    <w:rsid w:val="005618DB"/>
    <w:rsid w:val="00574AF2"/>
    <w:rsid w:val="00596174"/>
    <w:rsid w:val="005B6658"/>
    <w:rsid w:val="005C1789"/>
    <w:rsid w:val="005E4F5D"/>
    <w:rsid w:val="005F4A79"/>
    <w:rsid w:val="005F7A65"/>
    <w:rsid w:val="005F7D32"/>
    <w:rsid w:val="00600722"/>
    <w:rsid w:val="00625A07"/>
    <w:rsid w:val="00630BBB"/>
    <w:rsid w:val="00646F69"/>
    <w:rsid w:val="00646FD2"/>
    <w:rsid w:val="00652C51"/>
    <w:rsid w:val="0066760D"/>
    <w:rsid w:val="006769C3"/>
    <w:rsid w:val="00683DA4"/>
    <w:rsid w:val="00695408"/>
    <w:rsid w:val="006A1B21"/>
    <w:rsid w:val="00734E66"/>
    <w:rsid w:val="007477A2"/>
    <w:rsid w:val="00747CA2"/>
    <w:rsid w:val="00752AA3"/>
    <w:rsid w:val="0075649E"/>
    <w:rsid w:val="007825BA"/>
    <w:rsid w:val="00785291"/>
    <w:rsid w:val="007A01D1"/>
    <w:rsid w:val="007A3159"/>
    <w:rsid w:val="007A7F7F"/>
    <w:rsid w:val="007B08A5"/>
    <w:rsid w:val="007B2EAA"/>
    <w:rsid w:val="007B74BB"/>
    <w:rsid w:val="007B75FE"/>
    <w:rsid w:val="007D7A78"/>
    <w:rsid w:val="007F25B8"/>
    <w:rsid w:val="00806E07"/>
    <w:rsid w:val="008114EB"/>
    <w:rsid w:val="008414DC"/>
    <w:rsid w:val="00852404"/>
    <w:rsid w:val="0085383A"/>
    <w:rsid w:val="0087466C"/>
    <w:rsid w:val="008A1175"/>
    <w:rsid w:val="008A2842"/>
    <w:rsid w:val="008B2F96"/>
    <w:rsid w:val="008B4118"/>
    <w:rsid w:val="008C0C31"/>
    <w:rsid w:val="00924B8E"/>
    <w:rsid w:val="00936BDC"/>
    <w:rsid w:val="00942088"/>
    <w:rsid w:val="00943B1F"/>
    <w:rsid w:val="00955210"/>
    <w:rsid w:val="00963268"/>
    <w:rsid w:val="0096503C"/>
    <w:rsid w:val="00982E67"/>
    <w:rsid w:val="00992F14"/>
    <w:rsid w:val="009A27EF"/>
    <w:rsid w:val="009B78B5"/>
    <w:rsid w:val="009D1229"/>
    <w:rsid w:val="009D24DC"/>
    <w:rsid w:val="009E6229"/>
    <w:rsid w:val="009E63E6"/>
    <w:rsid w:val="009E6462"/>
    <w:rsid w:val="00A4667E"/>
    <w:rsid w:val="00A83B22"/>
    <w:rsid w:val="00A841B3"/>
    <w:rsid w:val="00A84584"/>
    <w:rsid w:val="00A86A6C"/>
    <w:rsid w:val="00A9274B"/>
    <w:rsid w:val="00B00ED4"/>
    <w:rsid w:val="00B0195D"/>
    <w:rsid w:val="00B06137"/>
    <w:rsid w:val="00B15860"/>
    <w:rsid w:val="00B21CC1"/>
    <w:rsid w:val="00B234A2"/>
    <w:rsid w:val="00B2589A"/>
    <w:rsid w:val="00B340DF"/>
    <w:rsid w:val="00B439F8"/>
    <w:rsid w:val="00B558BF"/>
    <w:rsid w:val="00B82916"/>
    <w:rsid w:val="00B87522"/>
    <w:rsid w:val="00BB33D7"/>
    <w:rsid w:val="00BC2FC0"/>
    <w:rsid w:val="00BD2108"/>
    <w:rsid w:val="00BE600D"/>
    <w:rsid w:val="00BE64A8"/>
    <w:rsid w:val="00BF77A0"/>
    <w:rsid w:val="00BF7DEF"/>
    <w:rsid w:val="00C00984"/>
    <w:rsid w:val="00C056EE"/>
    <w:rsid w:val="00C1544F"/>
    <w:rsid w:val="00C168D8"/>
    <w:rsid w:val="00C428F7"/>
    <w:rsid w:val="00C4548C"/>
    <w:rsid w:val="00C56973"/>
    <w:rsid w:val="00C60731"/>
    <w:rsid w:val="00C74D0C"/>
    <w:rsid w:val="00C77C30"/>
    <w:rsid w:val="00C83237"/>
    <w:rsid w:val="00C83BE6"/>
    <w:rsid w:val="00C903E6"/>
    <w:rsid w:val="00CA3D32"/>
    <w:rsid w:val="00CA4002"/>
    <w:rsid w:val="00CA4EAD"/>
    <w:rsid w:val="00CC3A89"/>
    <w:rsid w:val="00CE4FE6"/>
    <w:rsid w:val="00D06781"/>
    <w:rsid w:val="00D142D3"/>
    <w:rsid w:val="00D20416"/>
    <w:rsid w:val="00D3213B"/>
    <w:rsid w:val="00D42615"/>
    <w:rsid w:val="00D56643"/>
    <w:rsid w:val="00D574AB"/>
    <w:rsid w:val="00D70363"/>
    <w:rsid w:val="00D7043D"/>
    <w:rsid w:val="00D75D9F"/>
    <w:rsid w:val="00D8501B"/>
    <w:rsid w:val="00D92309"/>
    <w:rsid w:val="00DA1BF1"/>
    <w:rsid w:val="00DC1D2A"/>
    <w:rsid w:val="00DC4D22"/>
    <w:rsid w:val="00DD061D"/>
    <w:rsid w:val="00DE0C42"/>
    <w:rsid w:val="00DF1734"/>
    <w:rsid w:val="00DF7B90"/>
    <w:rsid w:val="00E22B28"/>
    <w:rsid w:val="00E314DA"/>
    <w:rsid w:val="00E33822"/>
    <w:rsid w:val="00E41CC4"/>
    <w:rsid w:val="00E55DDA"/>
    <w:rsid w:val="00E62C35"/>
    <w:rsid w:val="00E65E95"/>
    <w:rsid w:val="00E73F17"/>
    <w:rsid w:val="00E868EB"/>
    <w:rsid w:val="00E92549"/>
    <w:rsid w:val="00E95259"/>
    <w:rsid w:val="00EA1531"/>
    <w:rsid w:val="00EA2D9B"/>
    <w:rsid w:val="00EC4561"/>
    <w:rsid w:val="00EC77CE"/>
    <w:rsid w:val="00ED23B0"/>
    <w:rsid w:val="00EF2E3E"/>
    <w:rsid w:val="00EF5BEE"/>
    <w:rsid w:val="00EF6CDF"/>
    <w:rsid w:val="00F02828"/>
    <w:rsid w:val="00F362E9"/>
    <w:rsid w:val="00F40B98"/>
    <w:rsid w:val="00F476D7"/>
    <w:rsid w:val="00F50C83"/>
    <w:rsid w:val="00F51594"/>
    <w:rsid w:val="00F652B0"/>
    <w:rsid w:val="00F81703"/>
    <w:rsid w:val="00F82DC9"/>
    <w:rsid w:val="00F87A4D"/>
    <w:rsid w:val="00FA4C47"/>
    <w:rsid w:val="00FC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BEDA"/>
  <w15:chartTrackingRefBased/>
  <w15:docId w15:val="{5D1F960A-A7EF-47B1-82FE-A395617C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298"/>
    <w:rPr>
      <w:rFonts w:eastAsiaTheme="majorEastAsia" w:cstheme="majorBidi"/>
      <w:color w:val="272727" w:themeColor="text1" w:themeTint="D8"/>
    </w:rPr>
  </w:style>
  <w:style w:type="paragraph" w:styleId="Title">
    <w:name w:val="Title"/>
    <w:basedOn w:val="Normal"/>
    <w:next w:val="Normal"/>
    <w:link w:val="TitleChar"/>
    <w:uiPriority w:val="10"/>
    <w:qFormat/>
    <w:rsid w:val="0048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298"/>
    <w:pPr>
      <w:spacing w:before="160"/>
      <w:jc w:val="center"/>
    </w:pPr>
    <w:rPr>
      <w:i/>
      <w:iCs/>
      <w:color w:val="404040" w:themeColor="text1" w:themeTint="BF"/>
    </w:rPr>
  </w:style>
  <w:style w:type="character" w:customStyle="1" w:styleId="QuoteChar">
    <w:name w:val="Quote Char"/>
    <w:basedOn w:val="DefaultParagraphFont"/>
    <w:link w:val="Quote"/>
    <w:uiPriority w:val="29"/>
    <w:rsid w:val="00484298"/>
    <w:rPr>
      <w:i/>
      <w:iCs/>
      <w:color w:val="404040" w:themeColor="text1" w:themeTint="BF"/>
    </w:rPr>
  </w:style>
  <w:style w:type="paragraph" w:styleId="ListParagraph">
    <w:name w:val="List Paragraph"/>
    <w:basedOn w:val="Normal"/>
    <w:uiPriority w:val="34"/>
    <w:qFormat/>
    <w:rsid w:val="00484298"/>
    <w:pPr>
      <w:ind w:left="720"/>
      <w:contextualSpacing/>
    </w:pPr>
  </w:style>
  <w:style w:type="character" w:styleId="IntenseEmphasis">
    <w:name w:val="Intense Emphasis"/>
    <w:basedOn w:val="DefaultParagraphFont"/>
    <w:uiPriority w:val="21"/>
    <w:qFormat/>
    <w:rsid w:val="00484298"/>
    <w:rPr>
      <w:i/>
      <w:iCs/>
      <w:color w:val="0F4761" w:themeColor="accent1" w:themeShade="BF"/>
    </w:rPr>
  </w:style>
  <w:style w:type="paragraph" w:styleId="IntenseQuote">
    <w:name w:val="Intense Quote"/>
    <w:basedOn w:val="Normal"/>
    <w:next w:val="Normal"/>
    <w:link w:val="IntenseQuoteChar"/>
    <w:uiPriority w:val="30"/>
    <w:qFormat/>
    <w:rsid w:val="00484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298"/>
    <w:rPr>
      <w:i/>
      <w:iCs/>
      <w:color w:val="0F4761" w:themeColor="accent1" w:themeShade="BF"/>
    </w:rPr>
  </w:style>
  <w:style w:type="character" w:styleId="IntenseReference">
    <w:name w:val="Intense Reference"/>
    <w:basedOn w:val="DefaultParagraphFont"/>
    <w:uiPriority w:val="32"/>
    <w:qFormat/>
    <w:rsid w:val="00484298"/>
    <w:rPr>
      <w:b/>
      <w:bCs/>
      <w:smallCaps/>
      <w:color w:val="0F4761" w:themeColor="accent1" w:themeShade="BF"/>
      <w:spacing w:val="5"/>
    </w:rPr>
  </w:style>
  <w:style w:type="character" w:styleId="Hyperlink">
    <w:name w:val="Hyperlink"/>
    <w:basedOn w:val="DefaultParagraphFont"/>
    <w:uiPriority w:val="99"/>
    <w:unhideWhenUsed/>
    <w:rsid w:val="00C00984"/>
    <w:rPr>
      <w:color w:val="467886" w:themeColor="hyperlink"/>
      <w:u w:val="single"/>
    </w:rPr>
  </w:style>
  <w:style w:type="character" w:styleId="UnresolvedMention">
    <w:name w:val="Unresolved Mention"/>
    <w:basedOn w:val="DefaultParagraphFont"/>
    <w:uiPriority w:val="99"/>
    <w:semiHidden/>
    <w:unhideWhenUsed/>
    <w:rsid w:val="00C00984"/>
    <w:rPr>
      <w:color w:val="605E5C"/>
      <w:shd w:val="clear" w:color="auto" w:fill="E1DFDD"/>
    </w:rPr>
  </w:style>
  <w:style w:type="table" w:styleId="TableGrid">
    <w:name w:val="Table Grid"/>
    <w:basedOn w:val="TableNormal"/>
    <w:uiPriority w:val="39"/>
    <w:rsid w:val="00B43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F5D"/>
  </w:style>
  <w:style w:type="paragraph" w:styleId="Footer">
    <w:name w:val="footer"/>
    <w:basedOn w:val="Normal"/>
    <w:link w:val="FooterChar"/>
    <w:uiPriority w:val="99"/>
    <w:unhideWhenUsed/>
    <w:rsid w:val="005E4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5D"/>
  </w:style>
  <w:style w:type="character" w:styleId="CommentReference">
    <w:name w:val="annotation reference"/>
    <w:basedOn w:val="DefaultParagraphFont"/>
    <w:uiPriority w:val="99"/>
    <w:semiHidden/>
    <w:unhideWhenUsed/>
    <w:rsid w:val="004D6465"/>
    <w:rPr>
      <w:sz w:val="16"/>
      <w:szCs w:val="16"/>
    </w:rPr>
  </w:style>
  <w:style w:type="paragraph" w:styleId="CommentText">
    <w:name w:val="annotation text"/>
    <w:basedOn w:val="Normal"/>
    <w:link w:val="CommentTextChar"/>
    <w:uiPriority w:val="99"/>
    <w:unhideWhenUsed/>
    <w:rsid w:val="004D6465"/>
    <w:pPr>
      <w:spacing w:line="240" w:lineRule="auto"/>
    </w:pPr>
    <w:rPr>
      <w:sz w:val="20"/>
      <w:szCs w:val="20"/>
    </w:rPr>
  </w:style>
  <w:style w:type="character" w:customStyle="1" w:styleId="CommentTextChar">
    <w:name w:val="Comment Text Char"/>
    <w:basedOn w:val="DefaultParagraphFont"/>
    <w:link w:val="CommentText"/>
    <w:uiPriority w:val="99"/>
    <w:rsid w:val="004D6465"/>
    <w:rPr>
      <w:sz w:val="20"/>
      <w:szCs w:val="20"/>
    </w:rPr>
  </w:style>
  <w:style w:type="paragraph" w:styleId="CommentSubject">
    <w:name w:val="annotation subject"/>
    <w:basedOn w:val="CommentText"/>
    <w:next w:val="CommentText"/>
    <w:link w:val="CommentSubjectChar"/>
    <w:uiPriority w:val="99"/>
    <w:semiHidden/>
    <w:unhideWhenUsed/>
    <w:rsid w:val="004D6465"/>
    <w:rPr>
      <w:b/>
      <w:bCs/>
    </w:rPr>
  </w:style>
  <w:style w:type="character" w:customStyle="1" w:styleId="CommentSubjectChar">
    <w:name w:val="Comment Subject Char"/>
    <w:basedOn w:val="CommentTextChar"/>
    <w:link w:val="CommentSubject"/>
    <w:uiPriority w:val="99"/>
    <w:semiHidden/>
    <w:rsid w:val="004D6465"/>
    <w:rPr>
      <w:b/>
      <w:bCs/>
      <w:sz w:val="20"/>
      <w:szCs w:val="20"/>
    </w:rPr>
  </w:style>
  <w:style w:type="paragraph" w:styleId="Revision">
    <w:name w:val="Revision"/>
    <w:hidden/>
    <w:uiPriority w:val="99"/>
    <w:semiHidden/>
    <w:rsid w:val="00270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273445">
      <w:bodyDiv w:val="1"/>
      <w:marLeft w:val="0"/>
      <w:marRight w:val="0"/>
      <w:marTop w:val="0"/>
      <w:marBottom w:val="0"/>
      <w:divBdr>
        <w:top w:val="none" w:sz="0" w:space="0" w:color="auto"/>
        <w:left w:val="none" w:sz="0" w:space="0" w:color="auto"/>
        <w:bottom w:val="none" w:sz="0" w:space="0" w:color="auto"/>
        <w:right w:val="none" w:sz="0" w:space="0" w:color="auto"/>
      </w:divBdr>
    </w:div>
    <w:div w:id="978997183">
      <w:bodyDiv w:val="1"/>
      <w:marLeft w:val="0"/>
      <w:marRight w:val="0"/>
      <w:marTop w:val="0"/>
      <w:marBottom w:val="0"/>
      <w:divBdr>
        <w:top w:val="none" w:sz="0" w:space="0" w:color="auto"/>
        <w:left w:val="none" w:sz="0" w:space="0" w:color="auto"/>
        <w:bottom w:val="none" w:sz="0" w:space="0" w:color="auto"/>
        <w:right w:val="none" w:sz="0" w:space="0" w:color="auto"/>
      </w:divBdr>
    </w:div>
    <w:div w:id="16800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cbb50-dce1-43ad-b0a3-342ade86abf1" xsi:nil="true"/>
    <lcf76f155ced4ddcb4097134ff3c332f xmlns="314a293a-148a-421c-9e03-9d929aba5a9b">
      <Terms xmlns="http://schemas.microsoft.com/office/infopath/2007/PartnerControls"/>
    </lcf76f155ced4ddcb4097134ff3c332f>
    <_ip_UnifiedCompliancePolicyUIAction xmlns="http://schemas.microsoft.com/sharepoint/v3" xsi:nil="true"/>
    <ArchiverLinkFileType xmlns="314a293a-148a-421c-9e03-9d929aba5a9b"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2AC68927D7E439A5A78E5D0299ED8" ma:contentTypeVersion="67" ma:contentTypeDescription="Create a new document." ma:contentTypeScope="" ma:versionID="e6d710a69d50e31062d85541bbf8b70e">
  <xsd:schema xmlns:xsd="http://www.w3.org/2001/XMLSchema" xmlns:xs="http://www.w3.org/2001/XMLSchema" xmlns:p="http://schemas.microsoft.com/office/2006/metadata/properties" xmlns:ns1="http://schemas.microsoft.com/sharepoint/v3" xmlns:ns2="314a293a-148a-421c-9e03-9d929aba5a9b" xmlns:ns3="460cbb50-dce1-43ad-b0a3-342ade86abf1" targetNamespace="http://schemas.microsoft.com/office/2006/metadata/properties" ma:root="true" ma:fieldsID="1e47af4bbab72252de390bc39738bc9e" ns1:_="" ns2:_="" ns3:_="">
    <xsd:import namespace="http://schemas.microsoft.com/sharepoint/v3"/>
    <xsd:import namespace="314a293a-148a-421c-9e03-9d929aba5a9b"/>
    <xsd:import namespace="460cbb50-dce1-43ad-b0a3-342ade86ab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a293a-148a-421c-9e03-9d929aba5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rchiverLinkFileType" ma:index="24"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cbb50-dce1-43ad-b0a3-342ade86ab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5e01ca-5760-404c-92c6-4df52b1f11e1}" ma:internalName="TaxCatchAll" ma:showField="CatchAllData" ma:web="460cbb50-dce1-43ad-b0a3-342ade86abf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AD451-4DD9-425D-8EA1-0D6700581E35}">
  <ds:schemaRefs>
    <ds:schemaRef ds:uri="http://schemas.microsoft.com/office/2006/metadata/properties"/>
    <ds:schemaRef ds:uri="http://schemas.microsoft.com/office/infopath/2007/PartnerControls"/>
    <ds:schemaRef ds:uri="460cbb50-dce1-43ad-b0a3-342ade86abf1"/>
    <ds:schemaRef ds:uri="314a293a-148a-421c-9e03-9d929aba5a9b"/>
    <ds:schemaRef ds:uri="http://schemas.microsoft.com/sharepoint/v3"/>
  </ds:schemaRefs>
</ds:datastoreItem>
</file>

<file path=customXml/itemProps2.xml><?xml version="1.0" encoding="utf-8"?>
<ds:datastoreItem xmlns:ds="http://schemas.openxmlformats.org/officeDocument/2006/customXml" ds:itemID="{86AD3354-DA0B-40D4-88D7-C204AC99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4a293a-148a-421c-9e03-9d929aba5a9b"/>
    <ds:schemaRef ds:uri="460cbb50-dce1-43ad-b0a3-342ade86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4FDB0-69B5-4B15-A1DE-AC64E052E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236</Words>
  <Characters>2038</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from Additional Quality Control Procedures to Capture Missing Student Responses from the 2025 Long-Term Trend Assessments</dc:title>
  <dc:subject/>
  <dc:creator>Walton, Ebony</dc:creator>
  <cp:keywords/>
  <dc:description/>
  <cp:lastModifiedBy>Wong, Fred</cp:lastModifiedBy>
  <cp:revision>9</cp:revision>
  <dcterms:created xsi:type="dcterms:W3CDTF">2026-06-29T13:52:00Z</dcterms:created>
  <dcterms:modified xsi:type="dcterms:W3CDTF">2026-06-29T20:26:00Z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0x0101009A52AC68927D7E439A5A78E5D0299ED8</vt:lpwstr>
  </property>
  <property fmtid="{D5CDD505-2E9C-101B-9397-08002B2CF9AE}" pid="3" name="MediaServiceImageTags">
    <vt:lpwstr/>
  </property>
  <property fmtid="{D5CDD505-2E9C-101B-9397-08002B2CF9AE}" pid="4" name="docLang">
    <vt:lpwstr>en</vt:lpwstr>
  </property>
</Properties>
</file>